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DD0E" w14:textId="1119E695" w:rsidR="00D12567" w:rsidRPr="003D7B04" w:rsidRDefault="00A110C9" w:rsidP="0074616A">
      <w:pPr>
        <w:widowControl w:val="0"/>
        <w:contextualSpacing/>
        <w:jc w:val="center"/>
        <w:rPr>
          <w:rFonts w:cs="Calibri"/>
          <w:szCs w:val="24"/>
        </w:rPr>
      </w:pPr>
      <w:r>
        <w:rPr>
          <w:rFonts w:cs="Calibri"/>
          <w:b/>
          <w:szCs w:val="24"/>
        </w:rPr>
        <w:t>Usnesení</w:t>
      </w:r>
    </w:p>
    <w:p w14:paraId="260B6A15" w14:textId="41EDE2DC" w:rsidR="00D12567" w:rsidRPr="003D7B04" w:rsidRDefault="00D12567" w:rsidP="0074616A">
      <w:pPr>
        <w:widowControl w:val="0"/>
        <w:contextualSpacing/>
        <w:jc w:val="center"/>
        <w:rPr>
          <w:rFonts w:cs="Calibri"/>
          <w:szCs w:val="24"/>
        </w:rPr>
      </w:pPr>
      <w:r w:rsidRPr="003D7B04">
        <w:rPr>
          <w:rFonts w:cs="Calibri"/>
          <w:szCs w:val="24"/>
          <w:u w:val="single"/>
        </w:rPr>
        <w:t xml:space="preserve">ze schůze Rady města Sezimovo Ústí, konané dne </w:t>
      </w:r>
      <w:r w:rsidR="00470EF7">
        <w:rPr>
          <w:rFonts w:cs="Calibri"/>
          <w:szCs w:val="24"/>
          <w:u w:val="single"/>
        </w:rPr>
        <w:t>05.08</w:t>
      </w:r>
      <w:r>
        <w:rPr>
          <w:rFonts w:cs="Calibri"/>
          <w:szCs w:val="24"/>
          <w:u w:val="single"/>
        </w:rPr>
        <w:t>.202</w:t>
      </w:r>
      <w:r w:rsidR="00C82849">
        <w:rPr>
          <w:rFonts w:cs="Calibri"/>
          <w:szCs w:val="24"/>
          <w:u w:val="single"/>
        </w:rPr>
        <w:t>4</w:t>
      </w:r>
    </w:p>
    <w:p w14:paraId="1EF1752F" w14:textId="77777777" w:rsidR="00D12567" w:rsidRPr="003D7B04" w:rsidRDefault="00D12567" w:rsidP="0074616A">
      <w:pPr>
        <w:widowControl w:val="0"/>
        <w:contextualSpacing/>
        <w:jc w:val="both"/>
        <w:rPr>
          <w:rFonts w:cs="Calibri"/>
          <w:szCs w:val="24"/>
          <w:u w:val="single"/>
        </w:rPr>
      </w:pPr>
    </w:p>
    <w:p w14:paraId="32ED918F" w14:textId="55835F84" w:rsidR="003225DE" w:rsidRPr="00D00627" w:rsidRDefault="003225DE" w:rsidP="00D00627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szCs w:val="24"/>
        </w:rPr>
      </w:pPr>
      <w:r w:rsidRPr="00D00627">
        <w:rPr>
          <w:rFonts w:cs="Calibri"/>
          <w:b/>
          <w:snapToGrid w:val="0"/>
          <w:szCs w:val="24"/>
        </w:rPr>
        <w:t>ZDRAVEX – dlouhodobý pronájem lékárny</w:t>
      </w:r>
      <w:r w:rsidRPr="00D00627">
        <w:rPr>
          <w:rFonts w:asciiTheme="minorHAnsi" w:hAnsiTheme="minorHAnsi" w:cstheme="minorHAnsi"/>
          <w:b/>
          <w:szCs w:val="24"/>
        </w:rPr>
        <w:t xml:space="preserve"> (mat. č. 253/2024)</w:t>
      </w:r>
    </w:p>
    <w:p w14:paraId="52AFBDE7" w14:textId="41299434" w:rsidR="009E52E8" w:rsidRPr="00D00627" w:rsidRDefault="009E52E8" w:rsidP="00D00627">
      <w:pPr>
        <w:widowControl w:val="0"/>
        <w:shd w:val="clear" w:color="auto" w:fill="FFFFFF" w:themeFill="background1"/>
        <w:contextualSpacing/>
        <w:jc w:val="both"/>
        <w:rPr>
          <w:rFonts w:cs="Calibri"/>
          <w:b/>
          <w:szCs w:val="24"/>
          <w:u w:val="single"/>
        </w:rPr>
      </w:pPr>
      <w:r w:rsidRPr="00D00627">
        <w:rPr>
          <w:rFonts w:cs="Calibri"/>
          <w:b/>
          <w:szCs w:val="24"/>
          <w:u w:val="single"/>
        </w:rPr>
        <w:t>Usnesení č. 25</w:t>
      </w:r>
      <w:r w:rsidR="00470EF7" w:rsidRPr="00D00627">
        <w:rPr>
          <w:rFonts w:cs="Calibri"/>
          <w:b/>
          <w:szCs w:val="24"/>
          <w:u w:val="single"/>
        </w:rPr>
        <w:t>7</w:t>
      </w:r>
      <w:r w:rsidRPr="00D00627">
        <w:rPr>
          <w:rFonts w:cs="Calibri"/>
          <w:b/>
          <w:szCs w:val="24"/>
          <w:u w:val="single"/>
        </w:rPr>
        <w:t>/2024</w:t>
      </w:r>
    </w:p>
    <w:p w14:paraId="527962E7" w14:textId="77777777" w:rsidR="00EC5A0D" w:rsidRPr="00D00627" w:rsidRDefault="009E52E8" w:rsidP="00D00627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D00627">
        <w:rPr>
          <w:szCs w:val="24"/>
        </w:rPr>
        <w:t>RM po projednání</w:t>
      </w:r>
      <w:r w:rsidRPr="00D0062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8EED628" w14:textId="77777777" w:rsidR="00EC5A0D" w:rsidRPr="00D00627" w:rsidRDefault="00EC5A0D" w:rsidP="00D00627">
      <w:pPr>
        <w:shd w:val="clear" w:color="auto" w:fill="FFFFFF" w:themeFill="background1"/>
        <w:jc w:val="both"/>
        <w:rPr>
          <w:rFonts w:ascii="Liberation Serif" w:eastAsia="SimSun" w:hAnsi="Liberation Serif" w:cs="Arial" w:hint="eastAsia"/>
          <w:kern w:val="1"/>
          <w:szCs w:val="24"/>
          <w:lang w:bidi="hi-IN"/>
        </w:rPr>
      </w:pPr>
      <w:r w:rsidRPr="00D00627">
        <w:rPr>
          <w:rFonts w:eastAsia="SimSun" w:cs="Arial"/>
          <w:b/>
          <w:bCs/>
          <w:kern w:val="1"/>
          <w:szCs w:val="24"/>
          <w:lang w:bidi="hi-IN"/>
        </w:rPr>
        <w:t>I. Bere na vědomí</w:t>
      </w:r>
    </w:p>
    <w:p w14:paraId="3D9A8E6E" w14:textId="77777777" w:rsidR="00EC5A0D" w:rsidRPr="00D00627" w:rsidRDefault="00EC5A0D" w:rsidP="00D00627">
      <w:pPr>
        <w:shd w:val="clear" w:color="auto" w:fill="FFFFFF" w:themeFill="background1"/>
        <w:ind w:left="284" w:hanging="284"/>
        <w:jc w:val="both"/>
        <w:rPr>
          <w:rFonts w:eastAsia="SimSun" w:cs="Arial"/>
          <w:kern w:val="1"/>
          <w:szCs w:val="24"/>
          <w:lang w:bidi="hi-IN"/>
        </w:rPr>
      </w:pPr>
      <w:bookmarkStart w:id="0" w:name="_Hlk155862031"/>
      <w:r w:rsidRPr="00D00627">
        <w:rPr>
          <w:rFonts w:eastAsia="SimSun" w:cs="Arial"/>
          <w:kern w:val="1"/>
          <w:szCs w:val="24"/>
          <w:lang w:bidi="hi-IN"/>
        </w:rPr>
        <w:t xml:space="preserve">a) informaci o žádosti Mgr. Ladislava Borkovce, IČ: 466 33 936, nájemce nebytových prostor v budově Rudé armády č.p. 914 (ZDRAVEX) a provozovatele lékárny tamtéž o souhlas pronajímatele s přechodem nájemní smlouvy na nového nájemce – společnost </w:t>
      </w:r>
      <w:proofErr w:type="spellStart"/>
      <w:r w:rsidRPr="00D00627">
        <w:rPr>
          <w:rFonts w:eastAsia="SimSun" w:cs="Arial"/>
          <w:kern w:val="1"/>
          <w:szCs w:val="24"/>
          <w:lang w:bidi="hi-IN"/>
        </w:rPr>
        <w:t>Sanovia</w:t>
      </w:r>
      <w:proofErr w:type="spellEnd"/>
      <w:r w:rsidRPr="00D00627">
        <w:rPr>
          <w:rFonts w:eastAsia="SimSun" w:cs="Arial"/>
          <w:kern w:val="1"/>
          <w:szCs w:val="24"/>
          <w:lang w:bidi="hi-IN"/>
        </w:rPr>
        <w:t xml:space="preserve">, a.s., IČO: 285 70 481, se sídlem Těšínská 1349/296, Radvanice, 716 00 Ostrava, v souvislosti s chystaným prodejem části závodu Mgr. Ladislava Borkovce, jako prodávajícího, společnosti </w:t>
      </w:r>
      <w:proofErr w:type="spellStart"/>
      <w:r w:rsidRPr="00D00627">
        <w:rPr>
          <w:rFonts w:eastAsia="SimSun" w:cs="Arial"/>
          <w:kern w:val="1"/>
          <w:szCs w:val="24"/>
          <w:lang w:bidi="hi-IN"/>
        </w:rPr>
        <w:t>Sanovia</w:t>
      </w:r>
      <w:proofErr w:type="spellEnd"/>
      <w:r w:rsidRPr="00D00627">
        <w:rPr>
          <w:rFonts w:eastAsia="SimSun" w:cs="Arial"/>
          <w:kern w:val="1"/>
          <w:szCs w:val="24"/>
          <w:lang w:bidi="hi-IN"/>
        </w:rPr>
        <w:t xml:space="preserve">, a.s., IČO: 285 70 481, se sídlem Těšínská 1349/296, Radvanice, 716 00 Ostrava, jako kupujícímu, a její vyřízení starostou města; </w:t>
      </w:r>
    </w:p>
    <w:p w14:paraId="6D56D9E4" w14:textId="1EA21784" w:rsidR="00EC5A0D" w:rsidRDefault="00EC5A0D" w:rsidP="00D00627">
      <w:pPr>
        <w:shd w:val="clear" w:color="auto" w:fill="FFFFFF" w:themeFill="background1"/>
        <w:ind w:left="284" w:hanging="284"/>
        <w:jc w:val="both"/>
        <w:rPr>
          <w:rFonts w:eastAsia="SimSun" w:cs="Arial"/>
          <w:kern w:val="1"/>
          <w:szCs w:val="24"/>
          <w:lang w:bidi="hi-IN"/>
        </w:rPr>
      </w:pPr>
      <w:r w:rsidRPr="00D00627">
        <w:rPr>
          <w:rFonts w:eastAsia="SimSun" w:cs="Arial"/>
          <w:kern w:val="1"/>
          <w:szCs w:val="24"/>
          <w:lang w:bidi="hi-IN"/>
        </w:rPr>
        <w:t>b) žádost o uzavření dodatku č. 2 k nájemní smlouvě, uzavřené dne 26.08.2016 mezi ZDRAVEX spol. s r.o., jako pronajímatelem, a Mgr. Ladislavem Borkovcem, jako nájemcem, týkající se pronájmu nebytových prostor v budově Rudé armády č.p. 914 (ZDRAVEX) za účelem provozování lékárny, tak, že nájem nebude moci být, vyjma vymezených důvodů, jednostranně ukončen pronajímatelem do 31.08.2034.</w:t>
      </w:r>
      <w:r>
        <w:rPr>
          <w:rFonts w:eastAsia="SimSun" w:cs="Arial"/>
          <w:kern w:val="1"/>
          <w:szCs w:val="24"/>
          <w:lang w:bidi="hi-IN"/>
        </w:rPr>
        <w:t xml:space="preserve">  </w:t>
      </w:r>
    </w:p>
    <w:p w14:paraId="37F1E80E" w14:textId="77777777" w:rsidR="00EC5A0D" w:rsidRPr="00730CE7" w:rsidRDefault="00EC5A0D" w:rsidP="00EC5A0D">
      <w:pPr>
        <w:jc w:val="both"/>
        <w:rPr>
          <w:rFonts w:eastAsia="SimSun" w:cs="Arial"/>
          <w:b/>
          <w:bCs/>
          <w:kern w:val="1"/>
          <w:szCs w:val="24"/>
          <w:lang w:bidi="hi-IN"/>
        </w:rPr>
      </w:pPr>
      <w:r w:rsidRPr="00730CE7">
        <w:rPr>
          <w:rFonts w:eastAsia="SimSun" w:cs="Arial"/>
          <w:b/>
          <w:bCs/>
          <w:kern w:val="1"/>
          <w:szCs w:val="24"/>
          <w:lang w:bidi="hi-IN"/>
        </w:rPr>
        <w:t>II. S</w:t>
      </w:r>
      <w:r>
        <w:rPr>
          <w:rFonts w:eastAsia="SimSun" w:cs="Arial"/>
          <w:b/>
          <w:bCs/>
          <w:kern w:val="1"/>
          <w:szCs w:val="24"/>
          <w:lang w:bidi="hi-IN"/>
        </w:rPr>
        <w:t xml:space="preserve">chvaluje </w:t>
      </w:r>
    </w:p>
    <w:bookmarkEnd w:id="0"/>
    <w:p w14:paraId="56602E09" w14:textId="7FF47F6F" w:rsidR="00EC5A0D" w:rsidRPr="000A34E2" w:rsidRDefault="00EC5A0D" w:rsidP="00EC5A0D">
      <w:pPr>
        <w:jc w:val="both"/>
        <w:rPr>
          <w:rFonts w:cs="Calibri"/>
          <w:b/>
          <w:i/>
          <w:smallCaps/>
          <w:szCs w:val="24"/>
          <w:u w:val="single"/>
        </w:rPr>
      </w:pPr>
      <w:r w:rsidRPr="00D0074F">
        <w:rPr>
          <w:rFonts w:eastAsia="SimSun" w:cs="Arial"/>
          <w:kern w:val="1"/>
          <w:szCs w:val="24"/>
          <w:lang w:bidi="hi-IN"/>
        </w:rPr>
        <w:t>uzavření dodatku č. 2 k nájemní smlouvě, uzavřené dne 26.08.20</w:t>
      </w:r>
      <w:r>
        <w:rPr>
          <w:rFonts w:eastAsia="SimSun" w:cs="Arial"/>
          <w:kern w:val="1"/>
          <w:szCs w:val="24"/>
          <w:lang w:bidi="hi-IN"/>
        </w:rPr>
        <w:t>16</w:t>
      </w:r>
      <w:r w:rsidRPr="00D0074F">
        <w:rPr>
          <w:rFonts w:eastAsia="SimSun" w:cs="Arial"/>
          <w:kern w:val="1"/>
          <w:szCs w:val="24"/>
          <w:lang w:bidi="hi-IN"/>
        </w:rPr>
        <w:t xml:space="preserve"> mezi ZDRAVEX spol. s r.o., jako pronajímatelem, a Mgr. Ladislavem Borkovcem, jako nájemcem, týkající se pronájmu nebytových prostor v budově Rudé armády č.p. 914 (ZDRAVEX) za účelem provozování lékárny, </w:t>
      </w:r>
      <w:r>
        <w:rPr>
          <w:rFonts w:eastAsia="SimSun" w:cs="Arial"/>
          <w:kern w:val="1"/>
          <w:szCs w:val="24"/>
          <w:lang w:bidi="hi-IN"/>
        </w:rPr>
        <w:t>dle předloženého návrhu</w:t>
      </w:r>
      <w:r w:rsidRPr="00D0074F">
        <w:rPr>
          <w:rFonts w:eastAsia="SimSun" w:cs="Arial"/>
          <w:kern w:val="1"/>
          <w:szCs w:val="24"/>
          <w:lang w:bidi="hi-IN"/>
        </w:rPr>
        <w:t xml:space="preserve">.  </w:t>
      </w:r>
    </w:p>
    <w:p w14:paraId="35AA77BC" w14:textId="251A540B" w:rsidR="009E52E8" w:rsidRPr="00876DA8" w:rsidRDefault="009E52E8" w:rsidP="009E52E8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="005A3F55"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 w:rsidR="00470EF7"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 w:rsidR="00470EF7"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6F19B3FB" w14:textId="77777777" w:rsidR="00920E5E" w:rsidRDefault="00920E5E" w:rsidP="00920E5E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006DDC0E" w14:textId="0056785A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 xml:space="preserve">Záměr pronájmu části </w:t>
      </w:r>
      <w:proofErr w:type="spellStart"/>
      <w:r w:rsidRPr="00DA6E35">
        <w:rPr>
          <w:rFonts w:cs="Calibri"/>
          <w:b/>
          <w:snapToGrid w:val="0"/>
          <w:szCs w:val="24"/>
        </w:rPr>
        <w:t>parc</w:t>
      </w:r>
      <w:proofErr w:type="spellEnd"/>
      <w:r w:rsidRPr="00DA6E35">
        <w:rPr>
          <w:rFonts w:cs="Calibri"/>
          <w:b/>
          <w:snapToGrid w:val="0"/>
          <w:szCs w:val="24"/>
        </w:rPr>
        <w:t>. č. 703/1 – (mat. č. 254/2024)</w:t>
      </w:r>
    </w:p>
    <w:p w14:paraId="372828E4" w14:textId="20460943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258</w:t>
      </w:r>
      <w:r w:rsidRPr="00876DA8">
        <w:rPr>
          <w:rFonts w:cs="Calibri"/>
          <w:b/>
          <w:szCs w:val="24"/>
          <w:u w:val="single"/>
        </w:rPr>
        <w:t>/2024</w:t>
      </w:r>
    </w:p>
    <w:p w14:paraId="1AB58733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0FA01223" w14:textId="77777777" w:rsidR="00EC5A0D" w:rsidRDefault="00EC5A0D" w:rsidP="00EC5A0D">
      <w:pPr>
        <w:jc w:val="both"/>
        <w:rPr>
          <w:rFonts w:cs="Calibri"/>
          <w:b/>
          <w:szCs w:val="24"/>
        </w:rPr>
      </w:pPr>
      <w:r w:rsidRPr="00F02BF3">
        <w:rPr>
          <w:rFonts w:cs="Calibri"/>
          <w:b/>
          <w:szCs w:val="24"/>
        </w:rPr>
        <w:t>I.</w:t>
      </w:r>
      <w:r>
        <w:rPr>
          <w:rFonts w:cs="Calibri"/>
          <w:b/>
          <w:szCs w:val="24"/>
        </w:rPr>
        <w:t xml:space="preserve"> Bere na vědomí</w:t>
      </w:r>
    </w:p>
    <w:p w14:paraId="0AE46F75" w14:textId="3DA045A5" w:rsidR="00EC5A0D" w:rsidRPr="00952BB0" w:rsidRDefault="00EC5A0D" w:rsidP="00EC5A0D">
      <w:pPr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ž</w:t>
      </w:r>
      <w:r w:rsidRPr="00952BB0">
        <w:rPr>
          <w:rFonts w:cs="Calibri"/>
          <w:bCs/>
          <w:szCs w:val="24"/>
        </w:rPr>
        <w:t xml:space="preserve">ádost </w:t>
      </w:r>
      <w:proofErr w:type="spellStart"/>
      <w:r w:rsidR="003B0096">
        <w:rPr>
          <w:rFonts w:cs="Calibri"/>
          <w:bCs/>
          <w:szCs w:val="24"/>
        </w:rPr>
        <w:t>xx</w:t>
      </w:r>
      <w:proofErr w:type="spellEnd"/>
      <w:r w:rsidR="003B0096">
        <w:rPr>
          <w:rFonts w:cs="Calibri"/>
          <w:bCs/>
          <w:szCs w:val="24"/>
        </w:rPr>
        <w:t xml:space="preserve"> </w:t>
      </w:r>
      <w:r w:rsidRPr="00952BB0">
        <w:rPr>
          <w:rFonts w:cs="Calibri"/>
          <w:bCs/>
          <w:szCs w:val="24"/>
        </w:rPr>
        <w:t>ze dne 10.07.2024</w:t>
      </w:r>
      <w:r>
        <w:rPr>
          <w:rFonts w:cs="Calibri"/>
          <w:bCs/>
          <w:szCs w:val="24"/>
        </w:rPr>
        <w:t xml:space="preserve"> ve věci pro</w:t>
      </w:r>
      <w:r w:rsidRPr="00952BB0">
        <w:rPr>
          <w:rFonts w:cs="Calibri"/>
          <w:bCs/>
          <w:szCs w:val="24"/>
        </w:rPr>
        <w:t xml:space="preserve">nájmu části pozemku </w:t>
      </w:r>
      <w:proofErr w:type="spellStart"/>
      <w:r w:rsidRPr="00952BB0">
        <w:rPr>
          <w:rFonts w:cs="Calibri"/>
          <w:bCs/>
          <w:szCs w:val="24"/>
        </w:rPr>
        <w:t>parc</w:t>
      </w:r>
      <w:proofErr w:type="spellEnd"/>
      <w:r w:rsidRPr="00952BB0">
        <w:rPr>
          <w:rFonts w:cs="Calibri"/>
          <w:bCs/>
          <w:szCs w:val="24"/>
        </w:rPr>
        <w:t>. č. 703/1, druh pozemku: ostatní plocha, způsob využití: ostatní komunikace, o výměře cca 30 m</w:t>
      </w:r>
      <w:r w:rsidRPr="00952BB0">
        <w:rPr>
          <w:rFonts w:cs="Calibri"/>
          <w:bCs/>
          <w:szCs w:val="24"/>
          <w:vertAlign w:val="superscript"/>
        </w:rPr>
        <w:t>2</w:t>
      </w:r>
      <w:r w:rsidRPr="00952BB0">
        <w:rPr>
          <w:rFonts w:cs="Calibri"/>
          <w:bCs/>
          <w:szCs w:val="24"/>
        </w:rPr>
        <w:t>,</w:t>
      </w:r>
      <w:r>
        <w:rPr>
          <w:rFonts w:cs="Calibri"/>
          <w:bCs/>
          <w:szCs w:val="24"/>
        </w:rPr>
        <w:t xml:space="preserve"> za účelem parkování osobních vozidel.</w:t>
      </w:r>
    </w:p>
    <w:p w14:paraId="749CCE06" w14:textId="77777777" w:rsidR="00EC5A0D" w:rsidRPr="009D5FBB" w:rsidRDefault="00EC5A0D" w:rsidP="00EC5A0D">
      <w:pPr>
        <w:jc w:val="both"/>
        <w:rPr>
          <w:rFonts w:cs="Calibri"/>
          <w:b/>
          <w:szCs w:val="24"/>
        </w:rPr>
      </w:pPr>
      <w:r w:rsidRPr="009D5FBB">
        <w:rPr>
          <w:rFonts w:cs="Calibri"/>
          <w:b/>
          <w:szCs w:val="24"/>
        </w:rPr>
        <w:t>I</w:t>
      </w:r>
      <w:r>
        <w:rPr>
          <w:rFonts w:cs="Calibri"/>
          <w:b/>
          <w:szCs w:val="24"/>
        </w:rPr>
        <w:t>I</w:t>
      </w:r>
      <w:r w:rsidRPr="009D5FBB">
        <w:rPr>
          <w:rFonts w:cs="Calibri"/>
          <w:b/>
          <w:szCs w:val="24"/>
        </w:rPr>
        <w:t xml:space="preserve">. </w:t>
      </w:r>
      <w:r>
        <w:rPr>
          <w:rFonts w:cs="Calibri"/>
          <w:b/>
          <w:szCs w:val="24"/>
        </w:rPr>
        <w:t>Odkládá</w:t>
      </w:r>
      <w:r w:rsidRPr="009D5FBB">
        <w:rPr>
          <w:rFonts w:cs="Calibri"/>
          <w:b/>
          <w:szCs w:val="24"/>
        </w:rPr>
        <w:t xml:space="preserve"> </w:t>
      </w:r>
    </w:p>
    <w:p w14:paraId="3E98B830" w14:textId="77777777" w:rsidR="00EC5A0D" w:rsidRDefault="00EC5A0D" w:rsidP="00EC5A0D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rozhodnutí ve věci </w:t>
      </w:r>
      <w:r w:rsidRPr="009D5FBB">
        <w:rPr>
          <w:rFonts w:cs="Calibri"/>
          <w:szCs w:val="24"/>
        </w:rPr>
        <w:t>záměr</w:t>
      </w:r>
      <w:r>
        <w:rPr>
          <w:rFonts w:cs="Calibri"/>
          <w:szCs w:val="24"/>
        </w:rPr>
        <w:t>u</w:t>
      </w:r>
      <w:r w:rsidRPr="009D5FBB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pro</w:t>
      </w:r>
      <w:r w:rsidRPr="009D5FBB">
        <w:rPr>
          <w:rFonts w:cs="Calibri"/>
          <w:szCs w:val="24"/>
        </w:rPr>
        <w:t xml:space="preserve">nájmu části pozemku </w:t>
      </w:r>
      <w:proofErr w:type="spellStart"/>
      <w:r w:rsidRPr="009D5FBB">
        <w:rPr>
          <w:rFonts w:cs="Calibri"/>
          <w:szCs w:val="24"/>
        </w:rPr>
        <w:t>parc</w:t>
      </w:r>
      <w:proofErr w:type="spellEnd"/>
      <w:r w:rsidRPr="009D5FBB">
        <w:rPr>
          <w:rFonts w:cs="Calibri"/>
          <w:szCs w:val="24"/>
        </w:rPr>
        <w:t>. č. 703/1</w:t>
      </w:r>
      <w:r w:rsidRPr="00405287">
        <w:rPr>
          <w:rFonts w:cs="Calibri"/>
          <w:szCs w:val="24"/>
        </w:rPr>
        <w:t xml:space="preserve"> o výměře cca 30 m</w:t>
      </w:r>
      <w:r w:rsidRPr="00405287">
        <w:rPr>
          <w:rFonts w:cs="Calibri"/>
          <w:szCs w:val="24"/>
          <w:vertAlign w:val="superscript"/>
        </w:rPr>
        <w:t>2</w:t>
      </w:r>
      <w:r w:rsidRPr="00405287">
        <w:rPr>
          <w:rFonts w:cs="Calibri"/>
          <w:szCs w:val="24"/>
        </w:rPr>
        <w:t xml:space="preserve">, </w:t>
      </w:r>
      <w:proofErr w:type="spellStart"/>
      <w:r>
        <w:rPr>
          <w:rFonts w:cs="Calibri"/>
          <w:szCs w:val="24"/>
        </w:rPr>
        <w:t>k.ú</w:t>
      </w:r>
      <w:proofErr w:type="spellEnd"/>
      <w:r>
        <w:rPr>
          <w:rFonts w:cs="Calibri"/>
          <w:szCs w:val="24"/>
        </w:rPr>
        <w:t>. S</w:t>
      </w:r>
      <w:r w:rsidRPr="00405287">
        <w:rPr>
          <w:rFonts w:cs="Calibri"/>
          <w:szCs w:val="24"/>
        </w:rPr>
        <w:t xml:space="preserve">ezimovo Ústí, </w:t>
      </w:r>
      <w:r>
        <w:rPr>
          <w:rFonts w:cs="Calibri"/>
          <w:szCs w:val="24"/>
        </w:rPr>
        <w:t>za účelem parkování osobních vozidel dle žádosti ze dne 10.07.2024 a předkládá žádost k posouzení Komisi místního hospodářství a dopravy RM.</w:t>
      </w:r>
    </w:p>
    <w:p w14:paraId="013A6E1A" w14:textId="4110773C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35CCB424" w14:textId="77777777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119FC2AE" w14:textId="51640C61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 xml:space="preserve">Pronájem části pozemku č. </w:t>
      </w:r>
      <w:proofErr w:type="spellStart"/>
      <w:r w:rsidRPr="00DA6E35">
        <w:rPr>
          <w:rFonts w:cs="Calibri"/>
          <w:b/>
          <w:snapToGrid w:val="0"/>
          <w:szCs w:val="24"/>
        </w:rPr>
        <w:t>parc</w:t>
      </w:r>
      <w:proofErr w:type="spellEnd"/>
      <w:r w:rsidRPr="00DA6E35">
        <w:rPr>
          <w:rFonts w:cs="Calibri"/>
          <w:b/>
          <w:snapToGrid w:val="0"/>
          <w:szCs w:val="24"/>
        </w:rPr>
        <w:t>. 184/26 – DOKTOR OPTIK Group s.r.o. (mat. č. 255/2024)</w:t>
      </w:r>
    </w:p>
    <w:p w14:paraId="4CCDAF25" w14:textId="19A8295A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259</w:t>
      </w:r>
      <w:r w:rsidRPr="00876DA8">
        <w:rPr>
          <w:rFonts w:cs="Calibri"/>
          <w:b/>
          <w:szCs w:val="24"/>
          <w:u w:val="single"/>
        </w:rPr>
        <w:t>/2024</w:t>
      </w:r>
    </w:p>
    <w:p w14:paraId="09C4E9AC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2FD9E2C3" w14:textId="77777777" w:rsidR="00EC5A0D" w:rsidRPr="00244949" w:rsidRDefault="00EC5A0D" w:rsidP="00EC5A0D">
      <w:pPr>
        <w:jc w:val="both"/>
        <w:rPr>
          <w:rFonts w:cs="Calibri"/>
          <w:b/>
          <w:szCs w:val="24"/>
        </w:rPr>
      </w:pPr>
      <w:r w:rsidRPr="00244949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S</w:t>
      </w:r>
      <w:r w:rsidRPr="00244949">
        <w:rPr>
          <w:rFonts w:cs="Calibri"/>
          <w:b/>
          <w:szCs w:val="24"/>
        </w:rPr>
        <w:t xml:space="preserve">chvaluje </w:t>
      </w:r>
    </w:p>
    <w:p w14:paraId="54DD1467" w14:textId="70C495CA" w:rsidR="00EC5A0D" w:rsidRDefault="00EC5A0D" w:rsidP="00EC5A0D">
      <w:pPr>
        <w:jc w:val="both"/>
        <w:rPr>
          <w:rFonts w:asciiTheme="minorHAnsi" w:hAnsiTheme="minorHAnsi" w:cstheme="minorHAnsi"/>
          <w:szCs w:val="24"/>
        </w:rPr>
      </w:pPr>
      <w:r w:rsidRPr="00091958">
        <w:t>pro</w:t>
      </w:r>
      <w:r>
        <w:t>nájem</w:t>
      </w:r>
      <w:r w:rsidRPr="00091958">
        <w:t xml:space="preserve"> </w:t>
      </w:r>
      <w:r>
        <w:t xml:space="preserve">části </w:t>
      </w:r>
      <w:r w:rsidRPr="00091958">
        <w:t>pozemk</w:t>
      </w:r>
      <w:r>
        <w:t>u</w:t>
      </w:r>
      <w:r w:rsidRPr="00091958">
        <w:t xml:space="preserve"> č. </w:t>
      </w:r>
      <w:proofErr w:type="spellStart"/>
      <w:r w:rsidRPr="00091958">
        <w:t>parc</w:t>
      </w:r>
      <w:proofErr w:type="spellEnd"/>
      <w:r>
        <w:t>.</w:t>
      </w:r>
      <w:r w:rsidRPr="00091958">
        <w:t xml:space="preserve"> </w:t>
      </w:r>
      <w:r>
        <w:t>184/26</w:t>
      </w:r>
      <w:r w:rsidRPr="00091958">
        <w:t xml:space="preserve"> – </w:t>
      </w:r>
      <w:r>
        <w:t xml:space="preserve">ostatní plocha, zeleň, </w:t>
      </w:r>
      <w:r w:rsidRPr="00091958">
        <w:t xml:space="preserve">obec a k. </w:t>
      </w:r>
      <w:proofErr w:type="spellStart"/>
      <w:r w:rsidRPr="00091958">
        <w:t>ú.</w:t>
      </w:r>
      <w:proofErr w:type="spellEnd"/>
      <w:r w:rsidRPr="00091958">
        <w:t xml:space="preserve"> Sezimovo Ústí, </w:t>
      </w:r>
      <w:r>
        <w:t>o výměře cca 1 m</w:t>
      </w:r>
      <w:r w:rsidRPr="0035674F">
        <w:rPr>
          <w:vertAlign w:val="superscript"/>
        </w:rPr>
        <w:t>2</w:t>
      </w:r>
      <w:r>
        <w:t xml:space="preserve">, společnosti DOKTOR OPTIK Group s.r.o., IČ: 04956958, se sídlem Štěrboholská 1307/44, 102 00 Praha 10 </w:t>
      </w:r>
      <w:r w:rsidRPr="00091958">
        <w:t xml:space="preserve">– </w:t>
      </w:r>
      <w:r>
        <w:t>Hostivař,</w:t>
      </w:r>
      <w:r w:rsidRPr="00091958">
        <w:t xml:space="preserve"> za </w:t>
      </w:r>
      <w:r>
        <w:t>nájemné ve výši</w:t>
      </w:r>
      <w:r w:rsidRPr="00091958">
        <w:t xml:space="preserve"> </w:t>
      </w:r>
      <w:r>
        <w:t>1.000</w:t>
      </w:r>
      <w:r w:rsidRPr="00091958">
        <w:t xml:space="preserve"> Kč</w:t>
      </w:r>
      <w:r>
        <w:t>/m</w:t>
      </w:r>
      <w:r w:rsidRPr="00EC2678">
        <w:rPr>
          <w:vertAlign w:val="superscript"/>
        </w:rPr>
        <w:t>2</w:t>
      </w:r>
      <w:r>
        <w:t>/rok pozemku, na dobu neurčitou s výpovědní lhůtou 3 měsíce</w:t>
      </w:r>
      <w:r>
        <w:rPr>
          <w:rFonts w:asciiTheme="minorHAnsi" w:hAnsiTheme="minorHAnsi" w:cstheme="minorHAnsi"/>
          <w:szCs w:val="24"/>
        </w:rPr>
        <w:t xml:space="preserve">, za účelem umístění reklamní tabule ve tvaru písmene „A“ o velikosti </w:t>
      </w:r>
      <w:r>
        <w:rPr>
          <w:rFonts w:asciiTheme="minorHAnsi" w:hAnsiTheme="minorHAnsi" w:cstheme="minorHAnsi"/>
          <w:szCs w:val="24"/>
        </w:rPr>
        <w:br/>
        <w:t>1 m</w:t>
      </w:r>
      <w:r w:rsidRPr="00D11DC8">
        <w:rPr>
          <w:rFonts w:asciiTheme="minorHAnsi" w:hAnsiTheme="minorHAnsi" w:cstheme="minorHAnsi"/>
          <w:szCs w:val="24"/>
          <w:vertAlign w:val="superscript"/>
        </w:rPr>
        <w:t>3</w:t>
      </w:r>
      <w:r>
        <w:rPr>
          <w:rFonts w:asciiTheme="minorHAnsi" w:hAnsiTheme="minorHAnsi" w:cstheme="minorHAnsi"/>
          <w:szCs w:val="24"/>
        </w:rPr>
        <w:t>.</w:t>
      </w:r>
    </w:p>
    <w:p w14:paraId="34684260" w14:textId="62452D0B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38FC4C87" w14:textId="0F7C91BD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lastRenderedPageBreak/>
        <w:t>Nájem pozemků – ALZA.CZ a.s. (mat. č. 256/2024)</w:t>
      </w:r>
    </w:p>
    <w:p w14:paraId="36F45F69" w14:textId="3665A2B2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260</w:t>
      </w:r>
      <w:r w:rsidRPr="00876DA8">
        <w:rPr>
          <w:rFonts w:cs="Calibri"/>
          <w:b/>
          <w:szCs w:val="24"/>
          <w:u w:val="single"/>
        </w:rPr>
        <w:t>/2024</w:t>
      </w:r>
    </w:p>
    <w:p w14:paraId="57FD0CC5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66D9F137" w14:textId="77777777" w:rsidR="00EC5A0D" w:rsidRPr="0014795E" w:rsidRDefault="00EC5A0D" w:rsidP="00EC5A0D">
      <w:pPr>
        <w:jc w:val="both"/>
        <w:rPr>
          <w:rFonts w:cs="Calibri"/>
          <w:b/>
          <w:bCs/>
          <w:szCs w:val="24"/>
        </w:rPr>
      </w:pPr>
      <w:r w:rsidRPr="0014795E">
        <w:rPr>
          <w:rFonts w:cs="Calibri"/>
          <w:b/>
          <w:bCs/>
          <w:szCs w:val="24"/>
        </w:rPr>
        <w:t>I.</w:t>
      </w:r>
      <w:r>
        <w:rPr>
          <w:rFonts w:cs="Calibri"/>
          <w:b/>
          <w:bCs/>
          <w:szCs w:val="24"/>
        </w:rPr>
        <w:t xml:space="preserve"> </w:t>
      </w:r>
      <w:r w:rsidRPr="0014795E">
        <w:rPr>
          <w:rFonts w:cs="Calibri"/>
          <w:b/>
          <w:bCs/>
          <w:szCs w:val="24"/>
        </w:rPr>
        <w:t xml:space="preserve">Bere na vědomí  </w:t>
      </w:r>
    </w:p>
    <w:p w14:paraId="5207A861" w14:textId="77777777" w:rsidR="00EC5A0D" w:rsidRDefault="00EC5A0D" w:rsidP="00EC5A0D">
      <w:pPr>
        <w:jc w:val="both"/>
        <w:rPr>
          <w:rFonts w:cs="Calibri"/>
          <w:b/>
          <w:bCs/>
          <w:szCs w:val="24"/>
        </w:rPr>
      </w:pPr>
      <w:r>
        <w:rPr>
          <w:rFonts w:cs="Calibri"/>
          <w:szCs w:val="24"/>
        </w:rPr>
        <w:t xml:space="preserve">žádost </w:t>
      </w:r>
      <w:r w:rsidRPr="00F940C1">
        <w:rPr>
          <w:rFonts w:cs="Calibri"/>
          <w:szCs w:val="24"/>
        </w:rPr>
        <w:t>společnosti ALZA.CZ a.s., IČ: 27082440, sídlem: Praha 7 – Holešovice, Jankovcova 1522/53, PSČ: 170 00</w:t>
      </w:r>
      <w:r>
        <w:rPr>
          <w:rFonts w:cs="Calibri"/>
          <w:szCs w:val="24"/>
        </w:rPr>
        <w:t>,</w:t>
      </w:r>
      <w:r w:rsidRPr="00F940C1">
        <w:t xml:space="preserve"> </w:t>
      </w:r>
      <w:r w:rsidRPr="00F940C1">
        <w:rPr>
          <w:rFonts w:cs="Calibri"/>
          <w:szCs w:val="24"/>
        </w:rPr>
        <w:t>ze dne 02.07.2024</w:t>
      </w:r>
      <w:r>
        <w:rPr>
          <w:rFonts w:cs="Calibri"/>
          <w:szCs w:val="24"/>
        </w:rPr>
        <w:t xml:space="preserve"> o pronájem pozemků pro umístění tzv. </w:t>
      </w:r>
      <w:proofErr w:type="spellStart"/>
      <w:r>
        <w:rPr>
          <w:rFonts w:cs="Calibri"/>
          <w:szCs w:val="24"/>
        </w:rPr>
        <w:t>Alzaboxů</w:t>
      </w:r>
      <w:proofErr w:type="spellEnd"/>
      <w:r>
        <w:rPr>
          <w:rFonts w:cs="Calibri"/>
          <w:szCs w:val="24"/>
        </w:rPr>
        <w:t>, a to u prodejny FLOP na Školním nám. a v ul. Průmyslová u prodejny JIP Plus.</w:t>
      </w:r>
    </w:p>
    <w:p w14:paraId="0AD367DC" w14:textId="77777777" w:rsidR="00EC5A0D" w:rsidRPr="00F940C1" w:rsidRDefault="00EC5A0D" w:rsidP="00EC5A0D">
      <w:pPr>
        <w:jc w:val="both"/>
        <w:rPr>
          <w:rFonts w:cs="Calibri"/>
          <w:b/>
          <w:bCs/>
          <w:szCs w:val="24"/>
        </w:rPr>
      </w:pPr>
      <w:r w:rsidRPr="00F940C1">
        <w:rPr>
          <w:rFonts w:cs="Calibri"/>
          <w:b/>
          <w:bCs/>
          <w:szCs w:val="24"/>
        </w:rPr>
        <w:t xml:space="preserve">II. Odkládá </w:t>
      </w:r>
    </w:p>
    <w:p w14:paraId="6B44157F" w14:textId="77777777" w:rsidR="00EC5A0D" w:rsidRPr="00F940C1" w:rsidRDefault="00EC5A0D" w:rsidP="00EC5A0D">
      <w:pPr>
        <w:jc w:val="both"/>
        <w:rPr>
          <w:rFonts w:cs="Calibri"/>
          <w:szCs w:val="24"/>
        </w:rPr>
      </w:pPr>
      <w:r w:rsidRPr="00F940C1">
        <w:rPr>
          <w:rFonts w:cs="Calibri"/>
          <w:szCs w:val="24"/>
        </w:rPr>
        <w:t xml:space="preserve">rozhodnutí ve věci záměru pronájmu části pozemku č. </w:t>
      </w:r>
      <w:proofErr w:type="spellStart"/>
      <w:r w:rsidRPr="00F940C1">
        <w:rPr>
          <w:rFonts w:cs="Calibri"/>
          <w:szCs w:val="24"/>
        </w:rPr>
        <w:t>parc</w:t>
      </w:r>
      <w:proofErr w:type="spellEnd"/>
      <w:r w:rsidRPr="00F940C1">
        <w:rPr>
          <w:rFonts w:cs="Calibri"/>
          <w:szCs w:val="24"/>
        </w:rPr>
        <w:t>. 199/4 – ostatní plocha/zeleň, o výměře cca 7 m</w:t>
      </w:r>
      <w:r w:rsidRPr="00F940C1">
        <w:rPr>
          <w:rFonts w:cs="Calibri"/>
          <w:szCs w:val="24"/>
          <w:vertAlign w:val="superscript"/>
        </w:rPr>
        <w:t>2</w:t>
      </w:r>
      <w:r w:rsidRPr="00F940C1">
        <w:rPr>
          <w:rFonts w:cs="Calibri"/>
          <w:szCs w:val="24"/>
        </w:rPr>
        <w:t xml:space="preserve"> a části pozemku č. </w:t>
      </w:r>
      <w:proofErr w:type="spellStart"/>
      <w:r w:rsidRPr="00F940C1">
        <w:rPr>
          <w:rFonts w:cs="Calibri"/>
          <w:szCs w:val="24"/>
        </w:rPr>
        <w:t>parc</w:t>
      </w:r>
      <w:proofErr w:type="spellEnd"/>
      <w:r w:rsidRPr="00F940C1">
        <w:rPr>
          <w:rFonts w:cs="Calibri"/>
          <w:szCs w:val="24"/>
        </w:rPr>
        <w:t>. 195/68 – ostatní plocha/ostatní komunikace, o výměře cca 7 m</w:t>
      </w:r>
      <w:r w:rsidRPr="00F940C1">
        <w:rPr>
          <w:rFonts w:cs="Calibri"/>
          <w:szCs w:val="24"/>
          <w:vertAlign w:val="superscript"/>
        </w:rPr>
        <w:t>2</w:t>
      </w:r>
      <w:r w:rsidRPr="00F940C1">
        <w:rPr>
          <w:rFonts w:cs="Calibri"/>
          <w:szCs w:val="24"/>
        </w:rPr>
        <w:t xml:space="preserve">, </w:t>
      </w:r>
      <w:proofErr w:type="spellStart"/>
      <w:r w:rsidRPr="00F940C1">
        <w:rPr>
          <w:rFonts w:cs="Calibri"/>
          <w:szCs w:val="24"/>
        </w:rPr>
        <w:t>k.ú</w:t>
      </w:r>
      <w:proofErr w:type="spellEnd"/>
      <w:r w:rsidRPr="00F940C1">
        <w:rPr>
          <w:rFonts w:cs="Calibri"/>
          <w:szCs w:val="24"/>
        </w:rPr>
        <w:t xml:space="preserve">. Sezimovo Ústí, společnosti ALZA.CZ a.s., IČ: 27082440, sídlem: Praha 7 – Holešovice, Jankovcova 1522/53, PSČ: 170 00, za účelem umístění tzv. </w:t>
      </w:r>
      <w:proofErr w:type="spellStart"/>
      <w:r w:rsidRPr="00F940C1">
        <w:rPr>
          <w:rFonts w:cs="Calibri"/>
          <w:szCs w:val="24"/>
        </w:rPr>
        <w:t>Alzaboxů</w:t>
      </w:r>
      <w:proofErr w:type="spellEnd"/>
      <w:r w:rsidRPr="00F940C1">
        <w:rPr>
          <w:rFonts w:cs="Calibri"/>
          <w:szCs w:val="24"/>
        </w:rPr>
        <w:t xml:space="preserve"> dle žádosti ze dne 02.07.2024 a předkládá žádost k posouzení Komisi místního hospodářství a dopravy RM</w:t>
      </w:r>
      <w:r>
        <w:rPr>
          <w:rFonts w:cs="Calibri"/>
          <w:szCs w:val="24"/>
        </w:rPr>
        <w:t xml:space="preserve"> a Komisi výstavby a územního plánování RM</w:t>
      </w:r>
      <w:r w:rsidRPr="00F940C1">
        <w:rPr>
          <w:rFonts w:cs="Calibri"/>
          <w:szCs w:val="24"/>
        </w:rPr>
        <w:t>.</w:t>
      </w:r>
    </w:p>
    <w:p w14:paraId="21DFC24D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202DCA8F" w14:textId="77777777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0137C43D" w14:textId="51807549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>Pouťové atrakce (mat. č. 257/2024)</w:t>
      </w:r>
    </w:p>
    <w:p w14:paraId="01C1C9DE" w14:textId="5B3F592C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261</w:t>
      </w:r>
      <w:r w:rsidRPr="00876DA8">
        <w:rPr>
          <w:rFonts w:cs="Calibri"/>
          <w:b/>
          <w:szCs w:val="24"/>
          <w:u w:val="single"/>
        </w:rPr>
        <w:t>/2024</w:t>
      </w:r>
    </w:p>
    <w:p w14:paraId="0269F63C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19BED1FD" w14:textId="3CDF5B17" w:rsidR="0058367F" w:rsidRDefault="0058367F" w:rsidP="0058367F">
      <w:pPr>
        <w:rPr>
          <w:rFonts w:cs="Calibri"/>
          <w:b/>
          <w:szCs w:val="24"/>
        </w:rPr>
      </w:pPr>
      <w:r w:rsidRPr="00287A9F">
        <w:rPr>
          <w:rFonts w:cs="Calibri"/>
          <w:b/>
          <w:szCs w:val="24"/>
        </w:rPr>
        <w:t>I.</w:t>
      </w:r>
      <w:r>
        <w:rPr>
          <w:rFonts w:cs="Calibri"/>
          <w:b/>
          <w:szCs w:val="24"/>
        </w:rPr>
        <w:t xml:space="preserve"> Nes</w:t>
      </w:r>
      <w:r w:rsidRPr="000A7373">
        <w:rPr>
          <w:rFonts w:cs="Calibri"/>
          <w:b/>
          <w:szCs w:val="24"/>
        </w:rPr>
        <w:t>chvaluje</w:t>
      </w:r>
    </w:p>
    <w:p w14:paraId="488AA390" w14:textId="6A8991CD" w:rsidR="0058367F" w:rsidRPr="00032588" w:rsidRDefault="0058367F" w:rsidP="0058367F">
      <w:pPr>
        <w:contextualSpacing/>
        <w:jc w:val="both"/>
        <w:rPr>
          <w:rFonts w:cs="Calibri"/>
          <w:b/>
          <w:bCs/>
        </w:rPr>
      </w:pPr>
      <w:r>
        <w:rPr>
          <w:rFonts w:cs="Calibri"/>
        </w:rPr>
        <w:t xml:space="preserve">uzavření nájemní smlouvy s paní </w:t>
      </w:r>
      <w:proofErr w:type="spellStart"/>
      <w:r w:rsidR="003B0096">
        <w:rPr>
          <w:rFonts w:cs="Calibri"/>
        </w:rPr>
        <w:t>xx</w:t>
      </w:r>
      <w:proofErr w:type="spellEnd"/>
      <w:r>
        <w:rPr>
          <w:rFonts w:cs="Calibri"/>
        </w:rPr>
        <w:t xml:space="preserve">, IČ: </w:t>
      </w:r>
      <w:r w:rsidRPr="00032588">
        <w:rPr>
          <w:rFonts w:cs="Calibri"/>
        </w:rPr>
        <w:t>735</w:t>
      </w:r>
      <w:r>
        <w:rPr>
          <w:rFonts w:cs="Calibri"/>
        </w:rPr>
        <w:t xml:space="preserve"> </w:t>
      </w:r>
      <w:r w:rsidRPr="00032588">
        <w:rPr>
          <w:rFonts w:cs="Calibri"/>
        </w:rPr>
        <w:t>21</w:t>
      </w:r>
      <w:r>
        <w:rPr>
          <w:rFonts w:cs="Calibri"/>
        </w:rPr>
        <w:t xml:space="preserve"> </w:t>
      </w:r>
      <w:r w:rsidRPr="00032588">
        <w:rPr>
          <w:rFonts w:cs="Calibri"/>
        </w:rPr>
        <w:t xml:space="preserve">019, </w:t>
      </w:r>
      <w:r>
        <w:rPr>
          <w:rFonts w:cs="Calibri"/>
        </w:rPr>
        <w:t xml:space="preserve">místem podnikání: </w:t>
      </w:r>
      <w:proofErr w:type="spellStart"/>
      <w:r w:rsidR="003B0096">
        <w:rPr>
          <w:rFonts w:cs="Calibri"/>
        </w:rPr>
        <w:t>xxxx</w:t>
      </w:r>
      <w:proofErr w:type="spellEnd"/>
      <w:r>
        <w:rPr>
          <w:rFonts w:cs="Calibri"/>
        </w:rPr>
        <w:t xml:space="preserve">, na část pozemku </w:t>
      </w:r>
      <w:proofErr w:type="spellStart"/>
      <w:r>
        <w:rPr>
          <w:rFonts w:cs="Calibri"/>
        </w:rPr>
        <w:t>parc.č</w:t>
      </w:r>
      <w:proofErr w:type="spellEnd"/>
      <w:r>
        <w:rPr>
          <w:rFonts w:cs="Calibri"/>
        </w:rPr>
        <w:t xml:space="preserve">. 373/1 </w:t>
      </w:r>
      <w:r w:rsidR="00503215">
        <w:rPr>
          <w:rFonts w:cs="Calibri"/>
        </w:rPr>
        <w:t>–</w:t>
      </w:r>
      <w:r>
        <w:rPr>
          <w:rFonts w:cs="Calibri"/>
        </w:rPr>
        <w:t xml:space="preserve"> ostatní plocha/ostatní komunikace (ul. </w:t>
      </w:r>
      <w:proofErr w:type="spellStart"/>
      <w:r>
        <w:rPr>
          <w:rFonts w:cs="Calibri"/>
        </w:rPr>
        <w:t>Vítkovecká</w:t>
      </w:r>
      <w:proofErr w:type="spellEnd"/>
      <w:r>
        <w:rPr>
          <w:rFonts w:cs="Calibri"/>
        </w:rPr>
        <w:t>) o výměře cca 16 m</w:t>
      </w:r>
      <w:r w:rsidRPr="00032588">
        <w:rPr>
          <w:rFonts w:cs="Calibri"/>
          <w:vertAlign w:val="superscript"/>
        </w:rPr>
        <w:t>2</w:t>
      </w:r>
      <w:r>
        <w:rPr>
          <w:rFonts w:cs="Calibri"/>
        </w:rPr>
        <w:t xml:space="preserve">, a část pozemku </w:t>
      </w:r>
      <w:proofErr w:type="spellStart"/>
      <w:r>
        <w:rPr>
          <w:rFonts w:cs="Calibri"/>
        </w:rPr>
        <w:t>parc.č</w:t>
      </w:r>
      <w:proofErr w:type="spellEnd"/>
      <w:r>
        <w:rPr>
          <w:rFonts w:cs="Calibri"/>
        </w:rPr>
        <w:t>. 371/1 – ostatní plocha/ostatní komunikace (ul. Jana z Ústí), o výměře cca 53 m</w:t>
      </w:r>
      <w:r w:rsidRPr="00032588">
        <w:rPr>
          <w:rFonts w:cs="Calibri"/>
          <w:vertAlign w:val="superscript"/>
        </w:rPr>
        <w:t>2</w:t>
      </w:r>
      <w:r>
        <w:rPr>
          <w:rFonts w:cs="Calibri"/>
        </w:rPr>
        <w:t xml:space="preserve">, vše LV č. 10001, obec a </w:t>
      </w:r>
      <w:proofErr w:type="spellStart"/>
      <w:r>
        <w:rPr>
          <w:rFonts w:cs="Calibri"/>
        </w:rPr>
        <w:t>k.ú</w:t>
      </w:r>
      <w:proofErr w:type="spellEnd"/>
      <w:r>
        <w:rPr>
          <w:rFonts w:cs="Calibri"/>
        </w:rPr>
        <w:t>. Sezimovo Ústí, za účelem umístění pouťových atrakcí.</w:t>
      </w:r>
    </w:p>
    <w:p w14:paraId="36181233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22A547E8" w14:textId="77777777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1423DDE6" w14:textId="2D7399CF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 xml:space="preserve">Bezúplatný převod </w:t>
      </w:r>
      <w:proofErr w:type="spellStart"/>
      <w:r w:rsidRPr="00DA6E35">
        <w:rPr>
          <w:rFonts w:cs="Calibri"/>
          <w:b/>
          <w:snapToGrid w:val="0"/>
          <w:szCs w:val="24"/>
        </w:rPr>
        <w:t>biopopelnic</w:t>
      </w:r>
      <w:proofErr w:type="spellEnd"/>
      <w:r w:rsidRPr="00DA6E35">
        <w:rPr>
          <w:rFonts w:cs="Calibri"/>
          <w:b/>
          <w:snapToGrid w:val="0"/>
          <w:szCs w:val="24"/>
        </w:rPr>
        <w:t xml:space="preserve"> – Správa města (mat. č. 258/2024)</w:t>
      </w:r>
    </w:p>
    <w:p w14:paraId="2565A4DD" w14:textId="64E35E38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262</w:t>
      </w:r>
      <w:r w:rsidRPr="00876DA8">
        <w:rPr>
          <w:rFonts w:cs="Calibri"/>
          <w:b/>
          <w:szCs w:val="24"/>
          <w:u w:val="single"/>
        </w:rPr>
        <w:t>/2024</w:t>
      </w:r>
    </w:p>
    <w:p w14:paraId="47727BB7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27FA34CA" w14:textId="77777777" w:rsidR="0058367F" w:rsidRDefault="0058367F" w:rsidP="0058367F">
      <w:pPr>
        <w:jc w:val="both"/>
        <w:rPr>
          <w:rFonts w:cs="Calibri"/>
          <w:b/>
          <w:szCs w:val="24"/>
        </w:rPr>
      </w:pPr>
      <w:r w:rsidRPr="00C91921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Předkládá</w:t>
      </w:r>
    </w:p>
    <w:p w14:paraId="44C7DF8E" w14:textId="77777777" w:rsidR="0058367F" w:rsidRPr="007E6CA0" w:rsidRDefault="0058367F" w:rsidP="0058367F">
      <w:pPr>
        <w:jc w:val="both"/>
        <w:rPr>
          <w:rFonts w:cs="Calibri"/>
        </w:rPr>
      </w:pPr>
      <w:r w:rsidRPr="005C5A87">
        <w:rPr>
          <w:rFonts w:cs="Calibri"/>
        </w:rPr>
        <w:t xml:space="preserve">Zastupitelstvu města Sezimovo Ústí ke schválení </w:t>
      </w:r>
      <w:r>
        <w:rPr>
          <w:rFonts w:cs="Calibri"/>
        </w:rPr>
        <w:t>bezúplatný převod 310 ks bio kontejnerů</w:t>
      </w:r>
      <w:r>
        <w:rPr>
          <w:rFonts w:cs="Calibri"/>
        </w:rPr>
        <w:br/>
        <w:t>o objemu 240 l vč. sady náhradních dílů v celkové pořizovací ceně 365.274,80 Kč vč. DPH</w:t>
      </w:r>
      <w:r>
        <w:rPr>
          <w:rFonts w:cs="Calibri"/>
        </w:rPr>
        <w:br/>
        <w:t xml:space="preserve">příspěvkové organizaci </w:t>
      </w:r>
      <w:r w:rsidRPr="007E6CA0">
        <w:rPr>
          <w:rFonts w:cs="Calibri"/>
        </w:rPr>
        <w:t>Správ</w:t>
      </w:r>
      <w:r>
        <w:rPr>
          <w:rFonts w:cs="Calibri"/>
        </w:rPr>
        <w:t>a</w:t>
      </w:r>
      <w:r w:rsidRPr="007E6CA0">
        <w:rPr>
          <w:rFonts w:cs="Calibri"/>
        </w:rPr>
        <w:t xml:space="preserve"> města Sezimovo Ústí,</w:t>
      </w:r>
      <w:r>
        <w:rPr>
          <w:rFonts w:cs="Calibri"/>
        </w:rPr>
        <w:t xml:space="preserve"> </w:t>
      </w:r>
      <w:r w:rsidRPr="007E6CA0">
        <w:rPr>
          <w:rFonts w:cs="Calibri"/>
        </w:rPr>
        <w:t>IČ: 712 38 522, sídlem: Průmyslová ulice 1095, 391 02 Sezimovo Ústí</w:t>
      </w:r>
      <w:r>
        <w:rPr>
          <w:rFonts w:cs="Calibri"/>
        </w:rPr>
        <w:t>.</w:t>
      </w:r>
    </w:p>
    <w:p w14:paraId="0E00F59F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5B025B74" w14:textId="77777777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3F048D5B" w14:textId="016E2DB1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>Směrové tabule k turistickým cílům – umístění (mat. č. 259/2024)</w:t>
      </w:r>
    </w:p>
    <w:p w14:paraId="64FA5BD1" w14:textId="6DD63737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263</w:t>
      </w:r>
      <w:r w:rsidRPr="00876DA8">
        <w:rPr>
          <w:rFonts w:cs="Calibri"/>
          <w:b/>
          <w:szCs w:val="24"/>
          <w:u w:val="single"/>
        </w:rPr>
        <w:t>/2024</w:t>
      </w:r>
    </w:p>
    <w:p w14:paraId="73A15703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4D07628A" w14:textId="58CF04FE" w:rsidR="0058367F" w:rsidRPr="00BA740D" w:rsidRDefault="0058367F" w:rsidP="0058367F">
      <w:pPr>
        <w:jc w:val="both"/>
        <w:rPr>
          <w:rFonts w:cs="Calibri"/>
          <w:b/>
          <w:szCs w:val="24"/>
        </w:rPr>
      </w:pPr>
      <w:r w:rsidRPr="00BA740D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S</w:t>
      </w:r>
      <w:r w:rsidR="00D00627">
        <w:rPr>
          <w:rFonts w:cs="Calibri"/>
          <w:b/>
          <w:szCs w:val="24"/>
        </w:rPr>
        <w:t>chvaluje</w:t>
      </w:r>
    </w:p>
    <w:p w14:paraId="2F5C16BC" w14:textId="6065B784" w:rsidR="0058367F" w:rsidRDefault="0058367F" w:rsidP="0058367F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>umístění směrových tabulí k turistickým cílům</w:t>
      </w:r>
      <w:r w:rsidR="00D00627">
        <w:rPr>
          <w:rFonts w:cs="Calibri"/>
          <w:szCs w:val="24"/>
        </w:rPr>
        <w:t xml:space="preserve"> dle</w:t>
      </w:r>
      <w:r>
        <w:rPr>
          <w:rFonts w:cs="Calibri"/>
          <w:szCs w:val="24"/>
        </w:rPr>
        <w:t> předložené</w:t>
      </w:r>
      <w:r w:rsidR="00D00627">
        <w:rPr>
          <w:rFonts w:cs="Calibri"/>
          <w:szCs w:val="24"/>
        </w:rPr>
        <w:t xml:space="preserve"> důvodové zprávy</w:t>
      </w:r>
      <w:r>
        <w:rPr>
          <w:rFonts w:cs="Calibri"/>
          <w:szCs w:val="24"/>
        </w:rPr>
        <w:t>.</w:t>
      </w:r>
    </w:p>
    <w:p w14:paraId="0F93F21F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1DB72ED9" w14:textId="77777777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2CAFBCDE" w14:textId="5547E386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>Veřejná pítka s </w:t>
      </w:r>
      <w:proofErr w:type="spellStart"/>
      <w:r w:rsidRPr="00DA6E35">
        <w:rPr>
          <w:rFonts w:cs="Calibri"/>
          <w:b/>
          <w:snapToGrid w:val="0"/>
          <w:szCs w:val="24"/>
        </w:rPr>
        <w:t>mlžítky</w:t>
      </w:r>
      <w:proofErr w:type="spellEnd"/>
      <w:r w:rsidRPr="00DA6E35">
        <w:rPr>
          <w:rFonts w:cs="Calibri"/>
          <w:b/>
          <w:snapToGrid w:val="0"/>
          <w:szCs w:val="24"/>
        </w:rPr>
        <w:t xml:space="preserve"> – umístění (mat. č. 260/2024)</w:t>
      </w:r>
    </w:p>
    <w:p w14:paraId="092D7DBF" w14:textId="2E165F14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264</w:t>
      </w:r>
      <w:r w:rsidRPr="00876DA8">
        <w:rPr>
          <w:rFonts w:cs="Calibri"/>
          <w:b/>
          <w:szCs w:val="24"/>
          <w:u w:val="single"/>
        </w:rPr>
        <w:t>/2024</w:t>
      </w:r>
    </w:p>
    <w:p w14:paraId="313DB8B7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53B5AF39" w14:textId="343C2EDF" w:rsidR="008A1008" w:rsidRDefault="008A1008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I. Odkládá</w:t>
      </w:r>
    </w:p>
    <w:p w14:paraId="1D2D64A7" w14:textId="175A199E" w:rsidR="008A1008" w:rsidRPr="008A1008" w:rsidRDefault="008A1008" w:rsidP="00DA6E35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Pr="008A1008">
        <w:rPr>
          <w:rFonts w:asciiTheme="minorHAnsi" w:hAnsiTheme="minorHAnsi" w:cstheme="minorHAnsi"/>
          <w:szCs w:val="24"/>
        </w:rPr>
        <w:t>rojednání tohoto materiálu.</w:t>
      </w:r>
    </w:p>
    <w:p w14:paraId="27E42464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5BB559A9" w14:textId="77777777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6CED5E32" w14:textId="73963C98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>Třešňovka – majetkoprávní vypořádání Správa železnic (mat. č. 261/2024)</w:t>
      </w:r>
    </w:p>
    <w:p w14:paraId="2FC86667" w14:textId="3DB2D135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265</w:t>
      </w:r>
      <w:r w:rsidRPr="00876DA8">
        <w:rPr>
          <w:rFonts w:cs="Calibri"/>
          <w:b/>
          <w:szCs w:val="24"/>
          <w:u w:val="single"/>
        </w:rPr>
        <w:t>/2024</w:t>
      </w:r>
    </w:p>
    <w:p w14:paraId="360D43C7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22FA7D1B" w14:textId="77777777" w:rsidR="008A1008" w:rsidRDefault="008A1008" w:rsidP="008A1008">
      <w:pPr>
        <w:jc w:val="both"/>
        <w:rPr>
          <w:rFonts w:cs="Calibri"/>
          <w:b/>
          <w:szCs w:val="24"/>
        </w:rPr>
      </w:pPr>
      <w:r w:rsidRPr="002A5E61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 xml:space="preserve">Schvaluje </w:t>
      </w:r>
      <w:r w:rsidRPr="002A5E61">
        <w:rPr>
          <w:rFonts w:cs="Calibri"/>
          <w:b/>
          <w:szCs w:val="24"/>
        </w:rPr>
        <w:t xml:space="preserve"> </w:t>
      </w:r>
    </w:p>
    <w:p w14:paraId="7E9E2C2D" w14:textId="77777777" w:rsidR="008A1008" w:rsidRDefault="008A1008" w:rsidP="008A1008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uzavření smlouvy o nájmu pozemku se </w:t>
      </w:r>
      <w:proofErr w:type="spellStart"/>
      <w:r>
        <w:rPr>
          <w:rFonts w:cs="Calibri"/>
          <w:szCs w:val="24"/>
        </w:rPr>
        <w:t>s.o</w:t>
      </w:r>
      <w:proofErr w:type="spellEnd"/>
      <w:r>
        <w:rPr>
          <w:rFonts w:cs="Calibri"/>
          <w:szCs w:val="24"/>
        </w:rPr>
        <w:t xml:space="preserve">. Správa železnic, </w:t>
      </w:r>
      <w:r w:rsidRPr="00A71806">
        <w:rPr>
          <w:rFonts w:cs="Calibri"/>
          <w:szCs w:val="24"/>
        </w:rPr>
        <w:t>se sídlem Praha 1, Nové Město, Dlážděná 1003/7, PSČ 110 00</w:t>
      </w:r>
      <w:r>
        <w:rPr>
          <w:rFonts w:cs="Calibri"/>
          <w:szCs w:val="24"/>
        </w:rPr>
        <w:t xml:space="preserve">, </w:t>
      </w:r>
      <w:r w:rsidRPr="00A71806">
        <w:rPr>
          <w:rFonts w:cs="Calibri"/>
          <w:szCs w:val="24"/>
        </w:rPr>
        <w:t>IČO: 709 94</w:t>
      </w:r>
      <w:r>
        <w:rPr>
          <w:rFonts w:cs="Calibri"/>
          <w:szCs w:val="24"/>
        </w:rPr>
        <w:t> </w:t>
      </w:r>
      <w:r w:rsidRPr="00A71806">
        <w:rPr>
          <w:rFonts w:cs="Calibri"/>
          <w:szCs w:val="24"/>
        </w:rPr>
        <w:t>234</w:t>
      </w:r>
      <w:r>
        <w:rPr>
          <w:rFonts w:cs="Calibri"/>
          <w:szCs w:val="24"/>
        </w:rPr>
        <w:t xml:space="preserve">, týkající se pronájmu </w:t>
      </w:r>
      <w:r w:rsidRPr="00A71806">
        <w:rPr>
          <w:rFonts w:cs="Calibri"/>
          <w:szCs w:val="24"/>
        </w:rPr>
        <w:t>pozemk</w:t>
      </w:r>
      <w:r>
        <w:rPr>
          <w:rFonts w:cs="Calibri"/>
          <w:szCs w:val="24"/>
        </w:rPr>
        <w:t>ů:</w:t>
      </w:r>
    </w:p>
    <w:p w14:paraId="1511C378" w14:textId="77777777" w:rsidR="008A1008" w:rsidRDefault="008A1008" w:rsidP="008A1008">
      <w:pPr>
        <w:numPr>
          <w:ilvl w:val="0"/>
          <w:numId w:val="45"/>
        </w:numPr>
        <w:suppressAutoHyphens w:val="0"/>
        <w:jc w:val="both"/>
        <w:rPr>
          <w:rFonts w:cs="Calibri"/>
          <w:szCs w:val="24"/>
        </w:rPr>
      </w:pPr>
      <w:proofErr w:type="spellStart"/>
      <w:r w:rsidRPr="00A71806">
        <w:rPr>
          <w:rFonts w:cs="Calibri"/>
          <w:szCs w:val="24"/>
        </w:rPr>
        <w:t>parc.č</w:t>
      </w:r>
      <w:proofErr w:type="spellEnd"/>
      <w:r w:rsidRPr="00A71806">
        <w:rPr>
          <w:rFonts w:cs="Calibri"/>
          <w:szCs w:val="24"/>
        </w:rPr>
        <w:t>. 765/23</w:t>
      </w:r>
      <w:r>
        <w:rPr>
          <w:rFonts w:cs="Calibri"/>
          <w:szCs w:val="24"/>
        </w:rPr>
        <w:t>, ostatní plocha/dráha</w:t>
      </w:r>
      <w:r w:rsidRPr="00A71806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o</w:t>
      </w:r>
      <w:r w:rsidRPr="00A71806">
        <w:rPr>
          <w:rFonts w:cs="Calibri"/>
          <w:szCs w:val="24"/>
        </w:rPr>
        <w:t xml:space="preserve"> výmě</w:t>
      </w:r>
      <w:r>
        <w:rPr>
          <w:rFonts w:cs="Calibri"/>
          <w:szCs w:val="24"/>
        </w:rPr>
        <w:t>ře</w:t>
      </w:r>
      <w:r w:rsidRPr="00A71806">
        <w:rPr>
          <w:rFonts w:cs="Calibri"/>
          <w:szCs w:val="24"/>
        </w:rPr>
        <w:t xml:space="preserve"> 5 m</w:t>
      </w:r>
      <w:r w:rsidRPr="00A71806">
        <w:rPr>
          <w:rFonts w:cs="Calibri"/>
          <w:szCs w:val="24"/>
          <w:vertAlign w:val="superscript"/>
        </w:rPr>
        <w:t>2</w:t>
      </w:r>
      <w:r w:rsidRPr="00A71806">
        <w:rPr>
          <w:rFonts w:cs="Calibri"/>
          <w:szCs w:val="24"/>
        </w:rPr>
        <w:t>,</w:t>
      </w:r>
    </w:p>
    <w:p w14:paraId="658495A7" w14:textId="77777777" w:rsidR="008A1008" w:rsidRPr="00A71806" w:rsidRDefault="008A1008" w:rsidP="008A1008">
      <w:pPr>
        <w:numPr>
          <w:ilvl w:val="0"/>
          <w:numId w:val="45"/>
        </w:numPr>
        <w:suppressAutoHyphens w:val="0"/>
        <w:jc w:val="both"/>
        <w:rPr>
          <w:rFonts w:cs="Calibri"/>
          <w:szCs w:val="24"/>
        </w:rPr>
      </w:pPr>
      <w:proofErr w:type="spellStart"/>
      <w:r w:rsidRPr="00A71806">
        <w:rPr>
          <w:rFonts w:cs="Calibri"/>
          <w:szCs w:val="24"/>
        </w:rPr>
        <w:t>parc.č</w:t>
      </w:r>
      <w:proofErr w:type="spellEnd"/>
      <w:r w:rsidRPr="00A71806">
        <w:rPr>
          <w:rFonts w:cs="Calibri"/>
          <w:szCs w:val="24"/>
        </w:rPr>
        <w:t xml:space="preserve">. 765/24, </w:t>
      </w:r>
      <w:r>
        <w:rPr>
          <w:rFonts w:cs="Calibri"/>
          <w:szCs w:val="24"/>
        </w:rPr>
        <w:t xml:space="preserve">ostatní plocha/zeleň </w:t>
      </w:r>
      <w:r w:rsidRPr="00A71806">
        <w:rPr>
          <w:rFonts w:cs="Calibri"/>
          <w:szCs w:val="24"/>
        </w:rPr>
        <w:t>o výměře 529 m</w:t>
      </w:r>
      <w:r w:rsidRPr="00A71806">
        <w:rPr>
          <w:rFonts w:cs="Calibri"/>
          <w:szCs w:val="24"/>
          <w:vertAlign w:val="superscript"/>
        </w:rPr>
        <w:t>2</w:t>
      </w:r>
      <w:r w:rsidRPr="00A71806">
        <w:rPr>
          <w:rFonts w:cs="Calibri"/>
          <w:szCs w:val="24"/>
        </w:rPr>
        <w:t>.</w:t>
      </w:r>
    </w:p>
    <w:p w14:paraId="2A6E1750" w14:textId="77777777" w:rsidR="008A1008" w:rsidRDefault="008A1008" w:rsidP="008A1008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v obci a </w:t>
      </w:r>
      <w:proofErr w:type="spellStart"/>
      <w:r>
        <w:rPr>
          <w:rFonts w:cs="Calibri"/>
          <w:szCs w:val="24"/>
        </w:rPr>
        <w:t>k.ú</w:t>
      </w:r>
      <w:proofErr w:type="spellEnd"/>
      <w:r>
        <w:rPr>
          <w:rFonts w:cs="Calibri"/>
          <w:szCs w:val="24"/>
        </w:rPr>
        <w:t>. Sezimovo Ústí</w:t>
      </w:r>
      <w:r w:rsidRPr="00A71806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na dobu neurčitou za nájemné </w:t>
      </w:r>
      <w:r w:rsidRPr="00A71806">
        <w:rPr>
          <w:rFonts w:cs="Calibri"/>
          <w:szCs w:val="24"/>
        </w:rPr>
        <w:t>12.816 Kč/rok + DPH ve výši stanovené zákonem</w:t>
      </w:r>
      <w:r>
        <w:rPr>
          <w:rFonts w:cs="Calibri"/>
          <w:szCs w:val="24"/>
        </w:rPr>
        <w:t xml:space="preserve">, dle předloženého návrhu ze dne 18.06.2024. </w:t>
      </w:r>
    </w:p>
    <w:p w14:paraId="35EDF246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02BFFB07" w14:textId="77777777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6943A44A" w14:textId="43A4B2C4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>Odpočívka na D3 u Červeného dvora – vyjádření ŘSD (mat. č. 262/2024)</w:t>
      </w:r>
    </w:p>
    <w:p w14:paraId="7A800B2B" w14:textId="634EF952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266</w:t>
      </w:r>
      <w:r w:rsidRPr="00876DA8">
        <w:rPr>
          <w:rFonts w:cs="Calibri"/>
          <w:b/>
          <w:szCs w:val="24"/>
          <w:u w:val="single"/>
        </w:rPr>
        <w:t>/2024</w:t>
      </w:r>
    </w:p>
    <w:p w14:paraId="1D395DA5" w14:textId="77777777" w:rsidR="00DA6E35" w:rsidRPr="008A1008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A1008">
        <w:rPr>
          <w:rFonts w:asciiTheme="minorHAnsi" w:hAnsiTheme="minorHAnsi" w:cstheme="minorHAnsi"/>
          <w:szCs w:val="24"/>
        </w:rPr>
        <w:t>RM po projednání</w:t>
      </w:r>
      <w:r w:rsidRPr="008A100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79BA27B8" w14:textId="77777777" w:rsidR="008A1008" w:rsidRPr="008A1008" w:rsidRDefault="008A1008" w:rsidP="008A1008">
      <w:pPr>
        <w:pStyle w:val="Zkladntext"/>
        <w:rPr>
          <w:rFonts w:asciiTheme="minorHAnsi" w:hAnsiTheme="minorHAnsi" w:cstheme="minorHAnsi"/>
          <w:b/>
          <w:sz w:val="24"/>
        </w:rPr>
      </w:pPr>
      <w:r w:rsidRPr="008A1008">
        <w:rPr>
          <w:rFonts w:asciiTheme="minorHAnsi" w:hAnsiTheme="minorHAnsi" w:cstheme="minorHAnsi"/>
          <w:b/>
          <w:sz w:val="24"/>
        </w:rPr>
        <w:t xml:space="preserve">I. Bere na vědomí  </w:t>
      </w:r>
    </w:p>
    <w:p w14:paraId="7592BD4B" w14:textId="4C80D854" w:rsidR="008A1008" w:rsidRPr="000A32D6" w:rsidRDefault="008A1008" w:rsidP="008A1008">
      <w:pPr>
        <w:widowControl w:val="0"/>
        <w:jc w:val="both"/>
        <w:rPr>
          <w:rFonts w:cs="Calibri"/>
          <w:szCs w:val="24"/>
        </w:rPr>
      </w:pPr>
      <w:r w:rsidRPr="008A1008">
        <w:rPr>
          <w:rFonts w:asciiTheme="minorHAnsi" w:hAnsiTheme="minorHAnsi" w:cstheme="minorHAnsi"/>
          <w:szCs w:val="24"/>
        </w:rPr>
        <w:t xml:space="preserve">reakci Ředitelství silnic a dálnic ze dne 17.07.2024 ke stanovisku Rady města Sezimovo Ústí k záměru výstavby a provozu odpočívky na D3 dle podkladů „D3 odpočívka </w:t>
      </w:r>
      <w:proofErr w:type="spellStart"/>
      <w:r w:rsidRPr="008A1008">
        <w:rPr>
          <w:rFonts w:asciiTheme="minorHAnsi" w:hAnsiTheme="minorHAnsi" w:cstheme="minorHAnsi"/>
          <w:szCs w:val="24"/>
        </w:rPr>
        <w:t>Strkov</w:t>
      </w:r>
      <w:proofErr w:type="spellEnd"/>
      <w:r w:rsidRPr="008A1008">
        <w:rPr>
          <w:rFonts w:asciiTheme="minorHAnsi" w:hAnsiTheme="minorHAnsi" w:cstheme="minorHAnsi"/>
          <w:szCs w:val="24"/>
        </w:rPr>
        <w:t xml:space="preserve"> km 86,5 P+L – vyhledávací</w:t>
      </w:r>
      <w:r w:rsidRPr="000A32D6">
        <w:rPr>
          <w:rFonts w:cs="Calibri"/>
          <w:szCs w:val="24"/>
        </w:rPr>
        <w:t xml:space="preserve"> a technická studie“ zaslanému dle 03.07.2024.</w:t>
      </w:r>
    </w:p>
    <w:p w14:paraId="3CCA4182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5DEFE2AF" w14:textId="77777777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63029C19" w14:textId="0346E0CF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>Změna č. 3 územního plánu Sezimovo Ústí – vydání (mat. č. 265/2024)</w:t>
      </w:r>
    </w:p>
    <w:p w14:paraId="4C507DB4" w14:textId="2DDFE274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267</w:t>
      </w:r>
      <w:r w:rsidRPr="00876DA8">
        <w:rPr>
          <w:rFonts w:cs="Calibri"/>
          <w:b/>
          <w:szCs w:val="24"/>
          <w:u w:val="single"/>
        </w:rPr>
        <w:t>/2024</w:t>
      </w:r>
    </w:p>
    <w:p w14:paraId="46F341B3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7BA4CD46" w14:textId="77777777" w:rsidR="008A1008" w:rsidRPr="001142C8" w:rsidRDefault="008A1008" w:rsidP="008A1008">
      <w:pPr>
        <w:jc w:val="both"/>
        <w:rPr>
          <w:rFonts w:cs="Calibri"/>
          <w:b/>
          <w:bCs/>
        </w:rPr>
      </w:pPr>
      <w:r w:rsidRPr="001142C8">
        <w:rPr>
          <w:rFonts w:cs="Calibri"/>
          <w:b/>
          <w:bCs/>
        </w:rPr>
        <w:t>I</w:t>
      </w:r>
      <w:r w:rsidRPr="001142C8">
        <w:rPr>
          <w:rFonts w:cs="Calibri"/>
          <w:b/>
          <w:bCs/>
          <w:szCs w:val="24"/>
        </w:rPr>
        <w:t>. Předkládá</w:t>
      </w:r>
    </w:p>
    <w:p w14:paraId="7C6403BE" w14:textId="684C9490" w:rsidR="008A1008" w:rsidRPr="001142C8" w:rsidRDefault="008A1008" w:rsidP="008A1008">
      <w:pPr>
        <w:jc w:val="both"/>
        <w:rPr>
          <w:rFonts w:cs="Calibri"/>
          <w:szCs w:val="24"/>
        </w:rPr>
      </w:pPr>
      <w:r w:rsidRPr="001142C8">
        <w:rPr>
          <w:rFonts w:cs="Calibri"/>
          <w:szCs w:val="24"/>
        </w:rPr>
        <w:t xml:space="preserve">ZM k projednání v samostatné působnosti v souladu s § 6 odst. 5, písm. c) zákona č. 183/2006 Sb. </w:t>
      </w:r>
      <w:r w:rsidR="009F230A">
        <w:rPr>
          <w:rFonts w:cs="Calibri"/>
          <w:szCs w:val="24"/>
        </w:rPr>
        <w:br/>
      </w:r>
      <w:r w:rsidRPr="001142C8">
        <w:rPr>
          <w:rFonts w:cs="Calibri"/>
          <w:szCs w:val="24"/>
        </w:rPr>
        <w:t>o územním plánování a stavebním řádu ve znění pozdějších předpisů (dále jen stavební zákon), za použití ustanovení § 54 odst. 2 stavebního zákona, ve spojení s § 323, odst. 9 zákona č. 283/2021 Sb., stavební zákon ve znění pozdějších předpisů, Změnu č. 3 Územního plánu Sezimovo Ústí a návrh opatření obecné povahy, kterým se podle ustanovení § 171 až 174 zákona č. 500/2004 Sb., správní řád, ve znění pozdějších předpisů</w:t>
      </w:r>
      <w:r w:rsidR="00596F89">
        <w:rPr>
          <w:rFonts w:cs="Calibri"/>
          <w:szCs w:val="24"/>
        </w:rPr>
        <w:t>, Změna č. 3 Územního plánu Sezimovo Ústí vydává.</w:t>
      </w:r>
    </w:p>
    <w:p w14:paraId="7D2C4BA9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6818B542" w14:textId="77777777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762B5687" w14:textId="05F14661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>Změna č. 4 územního plánu Sezimovo Ústí (mat. č. 263/2024)</w:t>
      </w:r>
    </w:p>
    <w:p w14:paraId="195F5FB5" w14:textId="5ADEAC78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268</w:t>
      </w:r>
      <w:r w:rsidRPr="00876DA8">
        <w:rPr>
          <w:rFonts w:cs="Calibri"/>
          <w:b/>
          <w:szCs w:val="24"/>
          <w:u w:val="single"/>
        </w:rPr>
        <w:t>/2024</w:t>
      </w:r>
    </w:p>
    <w:p w14:paraId="7AE7618A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0152CDFA" w14:textId="77777777" w:rsidR="008A1008" w:rsidRPr="007972C7" w:rsidRDefault="008A1008" w:rsidP="008A1008">
      <w:pPr>
        <w:jc w:val="both"/>
        <w:rPr>
          <w:rFonts w:cs="Calibri"/>
          <w:szCs w:val="24"/>
        </w:rPr>
      </w:pPr>
      <w:r w:rsidRPr="002A5E61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Bere na vědomí</w:t>
      </w:r>
    </w:p>
    <w:p w14:paraId="60B4A671" w14:textId="77777777" w:rsidR="008A1008" w:rsidRPr="006B1032" w:rsidRDefault="008A1008" w:rsidP="008A1008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>vyjádření města Tábora ke změně územního plánu města Sezimovo Ústí ze dne 18.07.2024.</w:t>
      </w:r>
    </w:p>
    <w:p w14:paraId="0D6226DB" w14:textId="77777777" w:rsidR="008A1008" w:rsidRPr="007972C7" w:rsidRDefault="008A1008" w:rsidP="008A1008">
      <w:pPr>
        <w:jc w:val="both"/>
        <w:rPr>
          <w:rFonts w:cs="Calibri"/>
          <w:b/>
          <w:szCs w:val="24"/>
        </w:rPr>
      </w:pPr>
      <w:r w:rsidRPr="007972C7">
        <w:rPr>
          <w:rFonts w:cs="Calibri"/>
          <w:b/>
          <w:szCs w:val="24"/>
        </w:rPr>
        <w:t xml:space="preserve">II. </w:t>
      </w:r>
      <w:r>
        <w:rPr>
          <w:rFonts w:cs="Calibri"/>
          <w:b/>
          <w:szCs w:val="24"/>
        </w:rPr>
        <w:t>Ukládá</w:t>
      </w:r>
      <w:r w:rsidRPr="007972C7">
        <w:rPr>
          <w:rFonts w:cs="Calibri"/>
          <w:b/>
          <w:szCs w:val="24"/>
        </w:rPr>
        <w:t xml:space="preserve">  </w:t>
      </w:r>
    </w:p>
    <w:p w14:paraId="09794A6C" w14:textId="77777777" w:rsidR="008A1008" w:rsidRDefault="008A1008" w:rsidP="008A1008">
      <w:pPr>
        <w:jc w:val="both"/>
        <w:rPr>
          <w:rFonts w:cs="Calibri"/>
        </w:rPr>
      </w:pPr>
      <w:r>
        <w:rPr>
          <w:rFonts w:cs="Calibri"/>
        </w:rPr>
        <w:t xml:space="preserve">starostovi města zahájit přípravu zadání změny č. 4 územního plánu města Sezimovo Ústí.   </w:t>
      </w:r>
    </w:p>
    <w:p w14:paraId="1995F394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0A98919C" w14:textId="77777777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77A36503" w14:textId="6DAFE5BA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 xml:space="preserve">Odvodnění šachty nad </w:t>
      </w:r>
      <w:proofErr w:type="spellStart"/>
      <w:r w:rsidRPr="00DA6E35">
        <w:rPr>
          <w:rFonts w:cs="Calibri"/>
          <w:b/>
          <w:snapToGrid w:val="0"/>
          <w:szCs w:val="24"/>
        </w:rPr>
        <w:t>Kozským</w:t>
      </w:r>
      <w:proofErr w:type="spellEnd"/>
      <w:r w:rsidRPr="00DA6E35">
        <w:rPr>
          <w:rFonts w:cs="Calibri"/>
          <w:b/>
          <w:snapToGrid w:val="0"/>
          <w:szCs w:val="24"/>
        </w:rPr>
        <w:t xml:space="preserve"> potokem – C-</w:t>
      </w:r>
      <w:proofErr w:type="spellStart"/>
      <w:r w:rsidRPr="00DA6E35">
        <w:rPr>
          <w:rFonts w:cs="Calibri"/>
          <w:b/>
          <w:snapToGrid w:val="0"/>
          <w:szCs w:val="24"/>
        </w:rPr>
        <w:t>en</w:t>
      </w:r>
      <w:r w:rsidR="00A110C9">
        <w:rPr>
          <w:rFonts w:cs="Calibri"/>
          <w:b/>
          <w:snapToGrid w:val="0"/>
          <w:szCs w:val="24"/>
        </w:rPr>
        <w:t>e</w:t>
      </w:r>
      <w:r w:rsidRPr="00DA6E35">
        <w:rPr>
          <w:rFonts w:cs="Calibri"/>
          <w:b/>
          <w:snapToGrid w:val="0"/>
          <w:szCs w:val="24"/>
        </w:rPr>
        <w:t>rgy</w:t>
      </w:r>
      <w:proofErr w:type="spellEnd"/>
      <w:r w:rsidRPr="00DA6E35">
        <w:rPr>
          <w:rFonts w:cs="Calibri"/>
          <w:b/>
          <w:snapToGrid w:val="0"/>
          <w:szCs w:val="24"/>
        </w:rPr>
        <w:t xml:space="preserve"> (mat. č. 264/2024)</w:t>
      </w:r>
    </w:p>
    <w:p w14:paraId="40B7313E" w14:textId="79BC3CFA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269</w:t>
      </w:r>
      <w:r w:rsidRPr="00876DA8">
        <w:rPr>
          <w:rFonts w:cs="Calibri"/>
          <w:b/>
          <w:szCs w:val="24"/>
          <w:u w:val="single"/>
        </w:rPr>
        <w:t>/2024</w:t>
      </w:r>
    </w:p>
    <w:p w14:paraId="4EE8E479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1DEAC7EF" w14:textId="4CEB8DA1" w:rsidR="008A1008" w:rsidRDefault="008A1008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I. Odkládá</w:t>
      </w:r>
    </w:p>
    <w:p w14:paraId="747B0601" w14:textId="2A5AACBC" w:rsidR="008A1008" w:rsidRPr="008A1008" w:rsidRDefault="008A1008" w:rsidP="00DA6E35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projednání tohoto materiálu.</w:t>
      </w:r>
    </w:p>
    <w:p w14:paraId="5791E4B3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13FF1162" w14:textId="77777777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52671A8D" w14:textId="44068755" w:rsidR="00DA6E35" w:rsidRPr="000320BF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0320BF">
        <w:rPr>
          <w:rFonts w:cs="Calibri"/>
          <w:b/>
          <w:snapToGrid w:val="0"/>
          <w:szCs w:val="24"/>
        </w:rPr>
        <w:t>Zápis č. 6/2024 z Bytové komise RM Sezimovo Ústí, konané dne 24.07.2024 (mat. č. 266/2024)</w:t>
      </w:r>
    </w:p>
    <w:p w14:paraId="71ABB78A" w14:textId="671B97A1" w:rsidR="00DA6E35" w:rsidRPr="000320BF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0320BF">
        <w:rPr>
          <w:rFonts w:cs="Calibri"/>
          <w:b/>
          <w:szCs w:val="24"/>
          <w:u w:val="single"/>
        </w:rPr>
        <w:t>Usnesení č. 270/2024</w:t>
      </w:r>
    </w:p>
    <w:p w14:paraId="63AD1328" w14:textId="77777777" w:rsidR="00DA6E35" w:rsidRPr="000320BF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0320BF">
        <w:rPr>
          <w:szCs w:val="24"/>
        </w:rPr>
        <w:t>RM po projednání</w:t>
      </w:r>
      <w:r w:rsidRPr="000320BF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137516D6" w14:textId="77777777" w:rsidR="00DF1103" w:rsidRPr="000320BF" w:rsidRDefault="00DF1103" w:rsidP="00DF1103">
      <w:pPr>
        <w:jc w:val="both"/>
        <w:rPr>
          <w:rFonts w:cs="Calibri"/>
          <w:b/>
          <w:szCs w:val="24"/>
        </w:rPr>
      </w:pPr>
      <w:r w:rsidRPr="000320BF">
        <w:rPr>
          <w:rFonts w:cs="Calibri"/>
          <w:b/>
          <w:szCs w:val="24"/>
        </w:rPr>
        <w:t>I. Bere na vědomí</w:t>
      </w:r>
    </w:p>
    <w:p w14:paraId="0DF9D9DA" w14:textId="77777777" w:rsidR="00DF1103" w:rsidRPr="000320BF" w:rsidRDefault="00DF1103" w:rsidP="00DF1103">
      <w:pPr>
        <w:jc w:val="both"/>
        <w:rPr>
          <w:rFonts w:cs="Calibri"/>
          <w:szCs w:val="24"/>
        </w:rPr>
      </w:pPr>
      <w:r w:rsidRPr="000320BF">
        <w:rPr>
          <w:rFonts w:cs="Calibri"/>
          <w:szCs w:val="24"/>
        </w:rPr>
        <w:t>zápis č. 6/2024 z Bytové komise RM Sezimovo Ústí, konané dne 24.07.2024.</w:t>
      </w:r>
    </w:p>
    <w:p w14:paraId="452725F6" w14:textId="009ADC61" w:rsidR="00DF1103" w:rsidRPr="000320BF" w:rsidRDefault="00DF1103" w:rsidP="00DF1103">
      <w:pPr>
        <w:jc w:val="both"/>
        <w:rPr>
          <w:rFonts w:cs="Calibri"/>
          <w:b/>
          <w:szCs w:val="24"/>
        </w:rPr>
      </w:pPr>
      <w:r w:rsidRPr="000320BF">
        <w:rPr>
          <w:rFonts w:cs="Calibri"/>
          <w:b/>
          <w:szCs w:val="24"/>
        </w:rPr>
        <w:t>II. S</w:t>
      </w:r>
      <w:r w:rsidR="00D00627" w:rsidRPr="000320BF">
        <w:rPr>
          <w:rFonts w:cs="Calibri"/>
          <w:b/>
          <w:szCs w:val="24"/>
        </w:rPr>
        <w:t>chvaluje</w:t>
      </w:r>
    </w:p>
    <w:p w14:paraId="09E816D4" w14:textId="35BFAAAA" w:rsidR="00DF1103" w:rsidRPr="000320BF" w:rsidRDefault="00DF1103" w:rsidP="00DF1103">
      <w:pPr>
        <w:jc w:val="both"/>
        <w:rPr>
          <w:rFonts w:cs="Calibri"/>
          <w:szCs w:val="24"/>
        </w:rPr>
      </w:pPr>
      <w:r w:rsidRPr="000320BF">
        <w:rPr>
          <w:rFonts w:cs="Calibri"/>
          <w:szCs w:val="24"/>
        </w:rPr>
        <w:t>uzavření nájemní smlouvy na byt č. 627/27, o velikosti 2+1, s </w:t>
      </w:r>
      <w:proofErr w:type="spellStart"/>
      <w:r w:rsidR="003B0096">
        <w:rPr>
          <w:rFonts w:cs="Calibri"/>
          <w:szCs w:val="24"/>
        </w:rPr>
        <w:t>xx</w:t>
      </w:r>
      <w:proofErr w:type="spellEnd"/>
      <w:r w:rsidRPr="000320BF">
        <w:rPr>
          <w:rFonts w:cs="Calibri"/>
          <w:szCs w:val="24"/>
        </w:rPr>
        <w:t xml:space="preserve">, trvale bytem </w:t>
      </w:r>
      <w:proofErr w:type="spellStart"/>
      <w:r w:rsidR="003B0096">
        <w:rPr>
          <w:rFonts w:cs="Calibri"/>
          <w:szCs w:val="24"/>
        </w:rPr>
        <w:t>xxxx</w:t>
      </w:r>
      <w:proofErr w:type="spellEnd"/>
      <w:r w:rsidRPr="000320BF">
        <w:rPr>
          <w:rFonts w:cs="Calibri"/>
          <w:szCs w:val="24"/>
        </w:rPr>
        <w:t>.</w:t>
      </w:r>
    </w:p>
    <w:p w14:paraId="27C068EE" w14:textId="0DA32065" w:rsidR="00DF1103" w:rsidRPr="000320BF" w:rsidRDefault="00DF1103" w:rsidP="00DF1103">
      <w:pPr>
        <w:jc w:val="both"/>
        <w:rPr>
          <w:rFonts w:cs="Calibri"/>
          <w:b/>
          <w:szCs w:val="24"/>
        </w:rPr>
      </w:pPr>
      <w:r w:rsidRPr="000320BF">
        <w:rPr>
          <w:rFonts w:cs="Calibri"/>
          <w:b/>
          <w:szCs w:val="24"/>
        </w:rPr>
        <w:t>III. S</w:t>
      </w:r>
      <w:r w:rsidR="00D00627" w:rsidRPr="000320BF">
        <w:rPr>
          <w:rFonts w:cs="Calibri"/>
          <w:b/>
          <w:szCs w:val="24"/>
        </w:rPr>
        <w:t>chvaluje</w:t>
      </w:r>
    </w:p>
    <w:p w14:paraId="48EC8B90" w14:textId="52503012" w:rsidR="008F5889" w:rsidRPr="008F5889" w:rsidRDefault="008F5889" w:rsidP="008F5889">
      <w:pPr>
        <w:numPr>
          <w:ilvl w:val="0"/>
          <w:numId w:val="46"/>
        </w:numPr>
        <w:suppressAutoHyphens w:val="0"/>
        <w:jc w:val="both"/>
        <w:rPr>
          <w:rFonts w:cs="Calibri"/>
          <w:szCs w:val="24"/>
        </w:rPr>
      </w:pPr>
      <w:r w:rsidRPr="008F5889">
        <w:rPr>
          <w:rFonts w:cs="Calibri"/>
          <w:szCs w:val="24"/>
        </w:rPr>
        <w:t xml:space="preserve">výměnu podporovaného bytu č. 4.6 o velikosti 1+kk v budově Sezimovo Ústí, č.p. 1500 nájemce </w:t>
      </w:r>
      <w:proofErr w:type="spellStart"/>
      <w:r w:rsidR="003B0096">
        <w:rPr>
          <w:rFonts w:cs="Calibri"/>
          <w:szCs w:val="24"/>
        </w:rPr>
        <w:t>xx</w:t>
      </w:r>
      <w:proofErr w:type="spellEnd"/>
      <w:r w:rsidRPr="008F5889">
        <w:rPr>
          <w:rFonts w:cs="Calibri"/>
          <w:szCs w:val="24"/>
        </w:rPr>
        <w:t xml:space="preserve"> za volný podporovaný byt č. 4.2 o velikosti 1+kk tamtéž;</w:t>
      </w:r>
    </w:p>
    <w:p w14:paraId="35B2FE89" w14:textId="6FC82A63" w:rsidR="008F5889" w:rsidRPr="008F5889" w:rsidRDefault="008F5889" w:rsidP="008F5889">
      <w:pPr>
        <w:numPr>
          <w:ilvl w:val="0"/>
          <w:numId w:val="46"/>
        </w:numPr>
        <w:suppressAutoHyphens w:val="0"/>
        <w:jc w:val="both"/>
        <w:rPr>
          <w:rFonts w:cs="Calibri"/>
          <w:szCs w:val="24"/>
        </w:rPr>
      </w:pPr>
      <w:r w:rsidRPr="008F5889">
        <w:rPr>
          <w:rFonts w:cs="Calibri"/>
          <w:szCs w:val="24"/>
        </w:rPr>
        <w:t xml:space="preserve">výměnu nepodporovaného bytu č. 4.9 o velikosti 2+kk v budově Sezimovo Ústí, č.p. 1500 nájemce </w:t>
      </w:r>
      <w:proofErr w:type="spellStart"/>
      <w:r w:rsidR="003B0096">
        <w:rPr>
          <w:rFonts w:cs="Calibri"/>
          <w:szCs w:val="24"/>
        </w:rPr>
        <w:t>xx</w:t>
      </w:r>
      <w:proofErr w:type="spellEnd"/>
      <w:r w:rsidRPr="008F5889">
        <w:rPr>
          <w:rFonts w:cs="Calibri"/>
          <w:szCs w:val="24"/>
        </w:rPr>
        <w:t xml:space="preserve"> za volný podporovaný byt č. 4.5 o velikosti 1+kk tamtéž. </w:t>
      </w:r>
    </w:p>
    <w:p w14:paraId="01C4C046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34A33553" w14:textId="77777777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587273CE" w14:textId="00C5605B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>Přechod nájemní smlouvy na byt Lipová č. 619/02 (mat. č. 267/2024)</w:t>
      </w:r>
    </w:p>
    <w:p w14:paraId="48C5E827" w14:textId="15FA0C20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271</w:t>
      </w:r>
      <w:r w:rsidRPr="00876DA8">
        <w:rPr>
          <w:rFonts w:cs="Calibri"/>
          <w:b/>
          <w:szCs w:val="24"/>
          <w:u w:val="single"/>
        </w:rPr>
        <w:t>/2024</w:t>
      </w:r>
    </w:p>
    <w:p w14:paraId="6B6809E4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6122F215" w14:textId="77777777" w:rsidR="00DF1103" w:rsidRPr="00DF1103" w:rsidRDefault="00DF1103" w:rsidP="00DF1103">
      <w:pPr>
        <w:contextualSpacing/>
        <w:jc w:val="both"/>
        <w:rPr>
          <w:rFonts w:cs="Calibri"/>
          <w:b/>
          <w:szCs w:val="24"/>
        </w:rPr>
      </w:pPr>
      <w:r w:rsidRPr="00DF1103">
        <w:rPr>
          <w:rFonts w:cs="Calibri"/>
          <w:b/>
          <w:szCs w:val="24"/>
        </w:rPr>
        <w:t>I. Schvaluje</w:t>
      </w:r>
    </w:p>
    <w:p w14:paraId="14AE0C50" w14:textId="08FD42EC" w:rsidR="00DF1103" w:rsidRPr="00DF1103" w:rsidRDefault="00DF1103" w:rsidP="000320BF">
      <w:pPr>
        <w:pStyle w:val="Bezmezer"/>
        <w:jc w:val="both"/>
        <w:rPr>
          <w:rFonts w:cs="Calibri"/>
          <w:sz w:val="24"/>
          <w:szCs w:val="24"/>
        </w:rPr>
      </w:pPr>
      <w:r w:rsidRPr="00DF1103">
        <w:rPr>
          <w:rFonts w:cs="Calibri"/>
          <w:sz w:val="24"/>
          <w:szCs w:val="24"/>
        </w:rPr>
        <w:t xml:space="preserve">přechod nájemní smlouvy na byt č. 619/02, ulice Táboritů č. p. 619, Sezimovo Ústí, o velikosti 3+1, o celkové ploše 82,22 m² na </w:t>
      </w:r>
      <w:proofErr w:type="spellStart"/>
      <w:r w:rsidR="003B0096">
        <w:rPr>
          <w:rFonts w:cs="Calibri"/>
          <w:sz w:val="24"/>
          <w:szCs w:val="24"/>
        </w:rPr>
        <w:t>xx</w:t>
      </w:r>
      <w:proofErr w:type="spellEnd"/>
      <w:r>
        <w:rPr>
          <w:rFonts w:cs="Calibri"/>
          <w:sz w:val="24"/>
          <w:szCs w:val="24"/>
        </w:rPr>
        <w:t xml:space="preserve">, trvale bytem </w:t>
      </w:r>
      <w:proofErr w:type="spellStart"/>
      <w:r w:rsidR="003B0096">
        <w:rPr>
          <w:rFonts w:cs="Calibri"/>
          <w:sz w:val="24"/>
          <w:szCs w:val="24"/>
        </w:rPr>
        <w:t>xxxx</w:t>
      </w:r>
      <w:proofErr w:type="spellEnd"/>
      <w:r>
        <w:rPr>
          <w:rFonts w:cs="Calibri"/>
          <w:sz w:val="24"/>
          <w:szCs w:val="24"/>
        </w:rPr>
        <w:t>,</w:t>
      </w:r>
      <w:r w:rsidRPr="00DF1103">
        <w:rPr>
          <w:rFonts w:cs="Calibri"/>
          <w:sz w:val="24"/>
          <w:szCs w:val="24"/>
        </w:rPr>
        <w:t xml:space="preserve"> za měsíční nájemné 51,80 Kč/m², na dobu neurčitou.</w:t>
      </w:r>
    </w:p>
    <w:p w14:paraId="115054FC" w14:textId="77777777" w:rsidR="00DA6E35" w:rsidRDefault="00DA6E35" w:rsidP="000320BF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2930D314" w14:textId="77777777" w:rsidR="00DA6E35" w:rsidRPr="00DA6E35" w:rsidRDefault="00DA6E35" w:rsidP="000320BF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39D184D9" w14:textId="0CC83DCE" w:rsidR="00DA6E35" w:rsidRDefault="00DA6E35" w:rsidP="000320BF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>Výběrové řízení na byt č. 494/18, ulice Lipová, Sezimovo Ústí (mat. č. 268/2024)</w:t>
      </w:r>
    </w:p>
    <w:p w14:paraId="0D64D85F" w14:textId="5CF65A55" w:rsidR="00DA6E35" w:rsidRPr="00876DA8" w:rsidRDefault="00DA6E35" w:rsidP="000320BF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272</w:t>
      </w:r>
      <w:r w:rsidRPr="00876DA8">
        <w:rPr>
          <w:rFonts w:cs="Calibri"/>
          <w:b/>
          <w:szCs w:val="24"/>
          <w:u w:val="single"/>
        </w:rPr>
        <w:t>/2024</w:t>
      </w:r>
    </w:p>
    <w:p w14:paraId="70CD6656" w14:textId="77777777" w:rsidR="00DA6E35" w:rsidRDefault="00DA6E35" w:rsidP="000320BF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2013C9FC" w14:textId="77777777" w:rsidR="00DF1103" w:rsidRPr="00BA510C" w:rsidRDefault="00DF1103" w:rsidP="000320BF">
      <w:pPr>
        <w:jc w:val="both"/>
        <w:rPr>
          <w:rFonts w:cs="Calibri"/>
          <w:b/>
          <w:szCs w:val="24"/>
        </w:rPr>
      </w:pPr>
      <w:r w:rsidRPr="00BA510C">
        <w:rPr>
          <w:rFonts w:cs="Calibri"/>
          <w:b/>
          <w:szCs w:val="24"/>
        </w:rPr>
        <w:t xml:space="preserve">I. Schvaluje </w:t>
      </w:r>
    </w:p>
    <w:p w14:paraId="323888C3" w14:textId="69FA28AC" w:rsidR="00DF1103" w:rsidRPr="00FD7F8E" w:rsidRDefault="00DF1103" w:rsidP="000320BF">
      <w:pPr>
        <w:pStyle w:val="Bezmezer"/>
        <w:jc w:val="both"/>
        <w:rPr>
          <w:sz w:val="24"/>
          <w:szCs w:val="24"/>
        </w:rPr>
      </w:pPr>
      <w:r w:rsidRPr="00FD7F8E">
        <w:rPr>
          <w:sz w:val="24"/>
          <w:szCs w:val="24"/>
        </w:rPr>
        <w:t xml:space="preserve">vyhlášení výběrového řízení pro vyhledání nejvhodnějšího nájemce bytu č. </w:t>
      </w:r>
      <w:r>
        <w:rPr>
          <w:sz w:val="24"/>
          <w:szCs w:val="24"/>
        </w:rPr>
        <w:t>494/18</w:t>
      </w:r>
      <w:r w:rsidRPr="00FD7F8E">
        <w:rPr>
          <w:sz w:val="24"/>
          <w:szCs w:val="24"/>
        </w:rPr>
        <w:t xml:space="preserve">, ulice </w:t>
      </w:r>
      <w:r>
        <w:rPr>
          <w:sz w:val="24"/>
          <w:szCs w:val="24"/>
        </w:rPr>
        <w:t>Lipová</w:t>
      </w:r>
      <w:r w:rsidRPr="00FD7F8E">
        <w:rPr>
          <w:sz w:val="24"/>
          <w:szCs w:val="24"/>
        </w:rPr>
        <w:t xml:space="preserve"> </w:t>
      </w:r>
      <w:r w:rsidR="009F230A">
        <w:rPr>
          <w:sz w:val="24"/>
          <w:szCs w:val="24"/>
        </w:rPr>
        <w:br/>
      </w:r>
      <w:r w:rsidRPr="00FD7F8E">
        <w:rPr>
          <w:sz w:val="24"/>
          <w:szCs w:val="24"/>
        </w:rPr>
        <w:t xml:space="preserve">č. p. </w:t>
      </w:r>
      <w:r>
        <w:rPr>
          <w:sz w:val="24"/>
          <w:szCs w:val="24"/>
        </w:rPr>
        <w:t>494,</w:t>
      </w:r>
      <w:r w:rsidRPr="00FD7F8E">
        <w:rPr>
          <w:sz w:val="24"/>
          <w:szCs w:val="24"/>
        </w:rPr>
        <w:t xml:space="preserve"> Sezimovo Ústí, o velikosti </w:t>
      </w:r>
      <w:r>
        <w:rPr>
          <w:sz w:val="24"/>
          <w:szCs w:val="24"/>
        </w:rPr>
        <w:t>1</w:t>
      </w:r>
      <w:r w:rsidRPr="00FD7F8E">
        <w:rPr>
          <w:sz w:val="24"/>
          <w:szCs w:val="24"/>
        </w:rPr>
        <w:t xml:space="preserve"> + </w:t>
      </w:r>
      <w:r>
        <w:rPr>
          <w:sz w:val="24"/>
          <w:szCs w:val="24"/>
        </w:rPr>
        <w:t>1</w:t>
      </w:r>
      <w:r w:rsidRPr="00FD7F8E">
        <w:rPr>
          <w:sz w:val="24"/>
          <w:szCs w:val="24"/>
        </w:rPr>
        <w:t xml:space="preserve">, který bude pronajat zájemci formou obálkové metody dle pravidel pro pronajímání bytů ve vlastnictví města Sezimovo Ústí. Minimální výše základního měsíčního nájemného bude činit </w:t>
      </w:r>
      <w:r>
        <w:rPr>
          <w:sz w:val="24"/>
          <w:szCs w:val="24"/>
        </w:rPr>
        <w:t>2.191</w:t>
      </w:r>
      <w:r w:rsidRPr="00FD7F8E">
        <w:rPr>
          <w:sz w:val="24"/>
          <w:szCs w:val="24"/>
        </w:rPr>
        <w:t xml:space="preserve"> Kč. Délka platebního období je stanovena na 6 měsíců.</w:t>
      </w:r>
    </w:p>
    <w:p w14:paraId="12DBE96E" w14:textId="77777777" w:rsidR="00DA6E35" w:rsidRDefault="00DA6E35" w:rsidP="000320BF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1224E296" w14:textId="77777777" w:rsidR="00DA6E35" w:rsidRPr="00DA6E35" w:rsidRDefault="00DA6E35" w:rsidP="000320BF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35E23899" w14:textId="4DC6B281" w:rsidR="00DA6E35" w:rsidRDefault="00DA6E35" w:rsidP="000320BF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>Výběrové řízení na byt č. 638/03, ulice Dukelská, Sezimovo Ústí (mat. č. 269/2024)</w:t>
      </w:r>
    </w:p>
    <w:p w14:paraId="4C660715" w14:textId="54084B58" w:rsidR="00DA6E35" w:rsidRPr="00876DA8" w:rsidRDefault="00DA6E35" w:rsidP="000320BF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273</w:t>
      </w:r>
      <w:r w:rsidRPr="00876DA8">
        <w:rPr>
          <w:rFonts w:cs="Calibri"/>
          <w:b/>
          <w:szCs w:val="24"/>
          <w:u w:val="single"/>
        </w:rPr>
        <w:t>/2024</w:t>
      </w:r>
    </w:p>
    <w:p w14:paraId="744C9C7D" w14:textId="77777777" w:rsidR="00DF1103" w:rsidRDefault="00DA6E35" w:rsidP="000320BF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801BD6C" w14:textId="77777777" w:rsidR="00DF1103" w:rsidRPr="00BA510C" w:rsidRDefault="00DF1103" w:rsidP="000320BF">
      <w:pPr>
        <w:jc w:val="both"/>
        <w:rPr>
          <w:rFonts w:cs="Calibri"/>
          <w:b/>
          <w:szCs w:val="24"/>
        </w:rPr>
      </w:pPr>
      <w:r w:rsidRPr="00BA510C">
        <w:rPr>
          <w:rFonts w:cs="Calibri"/>
          <w:b/>
          <w:szCs w:val="24"/>
        </w:rPr>
        <w:t xml:space="preserve">I. Schvaluje </w:t>
      </w:r>
    </w:p>
    <w:p w14:paraId="35CCA94F" w14:textId="3CF74266" w:rsidR="00DF1103" w:rsidRPr="00FD7F8E" w:rsidRDefault="00DF1103" w:rsidP="000320BF">
      <w:pPr>
        <w:pStyle w:val="Bezmezer"/>
        <w:jc w:val="both"/>
        <w:rPr>
          <w:sz w:val="24"/>
          <w:szCs w:val="24"/>
        </w:rPr>
      </w:pPr>
      <w:r w:rsidRPr="00FD7F8E">
        <w:rPr>
          <w:sz w:val="24"/>
          <w:szCs w:val="24"/>
        </w:rPr>
        <w:t xml:space="preserve">vyhlášení výběrového řízení pro vyhledání nejvhodnějšího nájemce bytu č. </w:t>
      </w:r>
      <w:r>
        <w:rPr>
          <w:sz w:val="24"/>
          <w:szCs w:val="24"/>
        </w:rPr>
        <w:t>638/03</w:t>
      </w:r>
      <w:r w:rsidRPr="00FD7F8E">
        <w:rPr>
          <w:sz w:val="24"/>
          <w:szCs w:val="24"/>
        </w:rPr>
        <w:t xml:space="preserve">, ulice </w:t>
      </w:r>
      <w:r>
        <w:rPr>
          <w:sz w:val="24"/>
          <w:szCs w:val="24"/>
        </w:rPr>
        <w:t>Dukelská</w:t>
      </w:r>
      <w:r w:rsidRPr="00FD7F8E">
        <w:rPr>
          <w:sz w:val="24"/>
          <w:szCs w:val="24"/>
        </w:rPr>
        <w:t xml:space="preserve"> </w:t>
      </w:r>
      <w:r w:rsidR="009F230A">
        <w:rPr>
          <w:sz w:val="24"/>
          <w:szCs w:val="24"/>
        </w:rPr>
        <w:br/>
      </w:r>
      <w:r w:rsidRPr="00FD7F8E">
        <w:rPr>
          <w:sz w:val="24"/>
          <w:szCs w:val="24"/>
        </w:rPr>
        <w:t xml:space="preserve">č. p. </w:t>
      </w:r>
      <w:r>
        <w:rPr>
          <w:sz w:val="24"/>
          <w:szCs w:val="24"/>
        </w:rPr>
        <w:t>638,</w:t>
      </w:r>
      <w:r w:rsidRPr="00FD7F8E">
        <w:rPr>
          <w:sz w:val="24"/>
          <w:szCs w:val="24"/>
        </w:rPr>
        <w:t xml:space="preserve"> Sezimovo Ústí, o velikosti </w:t>
      </w:r>
      <w:r>
        <w:rPr>
          <w:sz w:val="24"/>
          <w:szCs w:val="24"/>
        </w:rPr>
        <w:t>2</w:t>
      </w:r>
      <w:r w:rsidRPr="00FD7F8E">
        <w:rPr>
          <w:sz w:val="24"/>
          <w:szCs w:val="24"/>
        </w:rPr>
        <w:t xml:space="preserve"> + </w:t>
      </w:r>
      <w:r>
        <w:rPr>
          <w:sz w:val="24"/>
          <w:szCs w:val="24"/>
        </w:rPr>
        <w:t>1</w:t>
      </w:r>
      <w:r w:rsidRPr="00FD7F8E">
        <w:rPr>
          <w:sz w:val="24"/>
          <w:szCs w:val="24"/>
        </w:rPr>
        <w:t xml:space="preserve">, který bude pronajat zájemci formou obálkové metody dle pravidel pro pronajímání bytů ve vlastnictví města Sezimovo Ústí. Minimální výše základního měsíčního nájemného bude činit </w:t>
      </w:r>
      <w:r>
        <w:rPr>
          <w:sz w:val="24"/>
          <w:szCs w:val="24"/>
        </w:rPr>
        <w:t>4.678</w:t>
      </w:r>
      <w:r w:rsidRPr="00FD7F8E">
        <w:rPr>
          <w:sz w:val="24"/>
          <w:szCs w:val="24"/>
        </w:rPr>
        <w:t xml:space="preserve"> Kč. Délka platebního období je stanovena na 6 měsíců.</w:t>
      </w:r>
    </w:p>
    <w:p w14:paraId="560F4649" w14:textId="57D27624" w:rsidR="00DA6E35" w:rsidRDefault="00DA6E35" w:rsidP="000320BF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1AC0C675" w14:textId="77777777" w:rsidR="00DA6E35" w:rsidRPr="00DA6E35" w:rsidRDefault="00DA6E35" w:rsidP="000320BF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42A20F29" w14:textId="5E45633E" w:rsidR="00DA6E35" w:rsidRDefault="00DA6E35" w:rsidP="000320BF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>Výběrové řízení na byt č. 1113/08, ulice Průmyslová, Sezimovo Ústí (mat. č. 270/2024)</w:t>
      </w:r>
    </w:p>
    <w:p w14:paraId="0E07F752" w14:textId="7CFF22CB" w:rsidR="00DA6E35" w:rsidRPr="00876DA8" w:rsidRDefault="00DA6E35" w:rsidP="000320BF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274</w:t>
      </w:r>
      <w:r w:rsidRPr="00876DA8">
        <w:rPr>
          <w:rFonts w:cs="Calibri"/>
          <w:b/>
          <w:szCs w:val="24"/>
          <w:u w:val="single"/>
        </w:rPr>
        <w:t>/2024</w:t>
      </w:r>
    </w:p>
    <w:p w14:paraId="62A7AF32" w14:textId="77777777" w:rsidR="00DA6E35" w:rsidRDefault="00DA6E35" w:rsidP="000320BF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460B8E67" w14:textId="77777777" w:rsidR="001E6333" w:rsidRPr="00BA510C" w:rsidRDefault="001E6333" w:rsidP="001E6333">
      <w:pPr>
        <w:jc w:val="both"/>
        <w:rPr>
          <w:rFonts w:cs="Calibri"/>
          <w:b/>
          <w:szCs w:val="24"/>
        </w:rPr>
      </w:pPr>
      <w:r w:rsidRPr="00BA510C">
        <w:rPr>
          <w:rFonts w:cs="Calibri"/>
          <w:b/>
          <w:szCs w:val="24"/>
        </w:rPr>
        <w:t xml:space="preserve">I. Schvaluje </w:t>
      </w:r>
    </w:p>
    <w:p w14:paraId="4462D6E7" w14:textId="63DF71E0" w:rsidR="001E6333" w:rsidRPr="00FD7F8E" w:rsidRDefault="001E6333" w:rsidP="001E6333">
      <w:pPr>
        <w:pStyle w:val="Bezmezer"/>
        <w:jc w:val="both"/>
        <w:rPr>
          <w:sz w:val="24"/>
          <w:szCs w:val="24"/>
        </w:rPr>
      </w:pPr>
      <w:r w:rsidRPr="00FD7F8E">
        <w:rPr>
          <w:sz w:val="24"/>
          <w:szCs w:val="24"/>
        </w:rPr>
        <w:lastRenderedPageBreak/>
        <w:t xml:space="preserve">vyhlášení výběrového řízení pro vyhledání nejvhodnějšího nájemce bytu č. </w:t>
      </w:r>
      <w:r>
        <w:rPr>
          <w:sz w:val="24"/>
          <w:szCs w:val="24"/>
        </w:rPr>
        <w:t>1113/08</w:t>
      </w:r>
      <w:r w:rsidRPr="00FD7F8E">
        <w:rPr>
          <w:sz w:val="24"/>
          <w:szCs w:val="24"/>
        </w:rPr>
        <w:t xml:space="preserve">, ulice </w:t>
      </w:r>
      <w:r>
        <w:rPr>
          <w:sz w:val="24"/>
          <w:szCs w:val="24"/>
        </w:rPr>
        <w:t>Průmyslová</w:t>
      </w:r>
      <w:r w:rsidRPr="00FD7F8E">
        <w:rPr>
          <w:sz w:val="24"/>
          <w:szCs w:val="24"/>
        </w:rPr>
        <w:t xml:space="preserve"> č. p. </w:t>
      </w:r>
      <w:r>
        <w:rPr>
          <w:sz w:val="24"/>
          <w:szCs w:val="24"/>
        </w:rPr>
        <w:t>1113,</w:t>
      </w:r>
      <w:r w:rsidRPr="00FD7F8E">
        <w:rPr>
          <w:sz w:val="24"/>
          <w:szCs w:val="24"/>
        </w:rPr>
        <w:t xml:space="preserve"> Sezimovo Ústí, o velikosti </w:t>
      </w:r>
      <w:r>
        <w:rPr>
          <w:sz w:val="24"/>
          <w:szCs w:val="24"/>
        </w:rPr>
        <w:t>3</w:t>
      </w:r>
      <w:r w:rsidRPr="00FD7F8E">
        <w:rPr>
          <w:sz w:val="24"/>
          <w:szCs w:val="24"/>
        </w:rPr>
        <w:t xml:space="preserve"> + </w:t>
      </w:r>
      <w:r>
        <w:rPr>
          <w:sz w:val="24"/>
          <w:szCs w:val="24"/>
        </w:rPr>
        <w:t>1</w:t>
      </w:r>
      <w:r w:rsidRPr="00FD7F8E">
        <w:rPr>
          <w:sz w:val="24"/>
          <w:szCs w:val="24"/>
        </w:rPr>
        <w:t xml:space="preserve">, který bude pronajat zájemci formou obálkové metody dle pravidel pro pronajímání bytů ve vlastnictví města Sezimovo Ústí. Minimální výše základního měsíčního nájemného bude činit </w:t>
      </w:r>
      <w:r>
        <w:rPr>
          <w:sz w:val="24"/>
          <w:szCs w:val="24"/>
        </w:rPr>
        <w:t>7.320</w:t>
      </w:r>
      <w:r w:rsidRPr="00FD7F8E">
        <w:rPr>
          <w:sz w:val="24"/>
          <w:szCs w:val="24"/>
        </w:rPr>
        <w:t xml:space="preserve"> Kč. Délka platebního období je stanovena na </w:t>
      </w:r>
      <w:r>
        <w:rPr>
          <w:sz w:val="24"/>
          <w:szCs w:val="24"/>
        </w:rPr>
        <w:br/>
      </w:r>
      <w:r w:rsidRPr="00FD7F8E">
        <w:rPr>
          <w:sz w:val="24"/>
          <w:szCs w:val="24"/>
        </w:rPr>
        <w:t>6 měsíců.</w:t>
      </w:r>
    </w:p>
    <w:p w14:paraId="55F90A06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7CC2487C" w14:textId="77777777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5E2C7FF8" w14:textId="6CBBEE1C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>Rozpočtová opatření zastupitelstva města na r. 2024 č. 37–38 (mat. č. 271/2024)</w:t>
      </w:r>
    </w:p>
    <w:p w14:paraId="4C630C65" w14:textId="57F120B4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275</w:t>
      </w:r>
      <w:r w:rsidRPr="00876DA8">
        <w:rPr>
          <w:rFonts w:cs="Calibri"/>
          <w:b/>
          <w:szCs w:val="24"/>
          <w:u w:val="single"/>
        </w:rPr>
        <w:t>/2024</w:t>
      </w:r>
    </w:p>
    <w:p w14:paraId="0EDF4E91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571AD957" w14:textId="0076DFD8" w:rsidR="0028004C" w:rsidRPr="00331064" w:rsidRDefault="0028004C" w:rsidP="0028004C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I. </w:t>
      </w:r>
      <w:r w:rsidRPr="00331064">
        <w:rPr>
          <w:rFonts w:cs="Arial"/>
          <w:b/>
          <w:szCs w:val="24"/>
        </w:rPr>
        <w:t xml:space="preserve">Předkládá </w:t>
      </w:r>
    </w:p>
    <w:p w14:paraId="3C10C28F" w14:textId="77777777" w:rsidR="0028004C" w:rsidRPr="0028004C" w:rsidRDefault="0028004C" w:rsidP="0028004C">
      <w:pPr>
        <w:jc w:val="both"/>
        <w:rPr>
          <w:rFonts w:cs="Arial"/>
          <w:szCs w:val="24"/>
        </w:rPr>
      </w:pPr>
      <w:r w:rsidRPr="0028004C">
        <w:rPr>
          <w:rFonts w:cs="Arial"/>
          <w:szCs w:val="24"/>
        </w:rPr>
        <w:t>ZM Sezimovo Ústí ke schválení</w:t>
      </w:r>
    </w:p>
    <w:p w14:paraId="55515F9F" w14:textId="77777777" w:rsidR="0028004C" w:rsidRPr="004D7807" w:rsidRDefault="0028004C" w:rsidP="0028004C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 w:rsidRPr="004D7807">
        <w:rPr>
          <w:rFonts w:ascii="Calibri" w:hAnsi="Calibri" w:cs="Arial"/>
          <w:sz w:val="24"/>
          <w:szCs w:val="24"/>
          <w:u w:val="single"/>
        </w:rPr>
        <w:t>a) rozpočtové opatření ZM č. 3</w:t>
      </w:r>
      <w:r>
        <w:rPr>
          <w:rFonts w:ascii="Calibri" w:hAnsi="Calibri" w:cs="Arial"/>
          <w:sz w:val="24"/>
          <w:szCs w:val="24"/>
          <w:u w:val="single"/>
        </w:rPr>
        <w:t>7</w:t>
      </w:r>
    </w:p>
    <w:p w14:paraId="2DCE3134" w14:textId="77777777" w:rsidR="0028004C" w:rsidRPr="004D7807" w:rsidRDefault="0028004C" w:rsidP="0028004C">
      <w:pPr>
        <w:spacing w:after="5"/>
        <w:ind w:left="10" w:hanging="10"/>
        <w:jc w:val="both"/>
        <w:rPr>
          <w:rFonts w:cs="Calibri"/>
        </w:rPr>
      </w:pPr>
      <w:r w:rsidRPr="004D7807">
        <w:rPr>
          <w:rFonts w:cs="Calibri"/>
        </w:rPr>
        <w:t xml:space="preserve">Název: Příjmy r. 2024 nad rámec plánu </w:t>
      </w:r>
      <w:r w:rsidRPr="004D7807">
        <w:rPr>
          <w:rFonts w:cs="Calibri"/>
          <w:sz w:val="20"/>
        </w:rPr>
        <w:t xml:space="preserve"> </w:t>
      </w:r>
      <w:r w:rsidRPr="004D7807">
        <w:rPr>
          <w:rFonts w:cs="Calibri"/>
        </w:rPr>
        <w:t xml:space="preserve"> </w:t>
      </w:r>
    </w:p>
    <w:p w14:paraId="5A425495" w14:textId="77777777" w:rsidR="0028004C" w:rsidRPr="003A0DD1" w:rsidRDefault="0028004C" w:rsidP="0028004C">
      <w:pPr>
        <w:spacing w:after="5"/>
        <w:ind w:left="10" w:hanging="10"/>
        <w:jc w:val="both"/>
        <w:rPr>
          <w:rFonts w:cs="Calibri"/>
          <w:sz w:val="22"/>
          <w:szCs w:val="20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3A0DD1">
        <w:rPr>
          <w:rFonts w:cs="Calibri"/>
          <w:sz w:val="22"/>
          <w:szCs w:val="20"/>
        </w:rPr>
        <w:t>tis. Kč</w:t>
      </w:r>
    </w:p>
    <w:tbl>
      <w:tblPr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693"/>
      </w:tblGrid>
      <w:tr w:rsidR="0028004C" w:rsidRPr="003A0DD1" w14:paraId="007EAD61" w14:textId="77777777" w:rsidTr="00C705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B6EA" w14:textId="77777777" w:rsidR="0028004C" w:rsidRPr="003A0DD1" w:rsidRDefault="0028004C" w:rsidP="00C705CB">
            <w:pPr>
              <w:jc w:val="both"/>
              <w:rPr>
                <w:rFonts w:cs="Arial"/>
                <w:sz w:val="22"/>
              </w:rPr>
            </w:pPr>
            <w:r w:rsidRPr="003A0DD1">
              <w:rPr>
                <w:rFonts w:cs="Arial"/>
                <w:sz w:val="22"/>
              </w:rPr>
              <w:t>Daňové příjmy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D003B" w14:textId="77777777" w:rsidR="0028004C" w:rsidRPr="003A0DD1" w:rsidRDefault="0028004C" w:rsidP="00C705CB">
            <w:pPr>
              <w:ind w:right="200"/>
              <w:jc w:val="right"/>
              <w:rPr>
                <w:rFonts w:cs="Arial"/>
                <w:sz w:val="22"/>
              </w:rPr>
            </w:pPr>
            <w:r w:rsidRPr="003A0DD1">
              <w:rPr>
                <w:rFonts w:cs="Arial"/>
                <w:sz w:val="22"/>
              </w:rPr>
              <w:t>33</w:t>
            </w:r>
          </w:p>
        </w:tc>
      </w:tr>
      <w:tr w:rsidR="0028004C" w:rsidRPr="003A0DD1" w14:paraId="0C5722EE" w14:textId="77777777" w:rsidTr="00C705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22D4" w14:textId="77777777" w:rsidR="0028004C" w:rsidRPr="003A0DD1" w:rsidRDefault="0028004C" w:rsidP="00C705CB">
            <w:pPr>
              <w:spacing w:line="276" w:lineRule="auto"/>
              <w:jc w:val="both"/>
              <w:rPr>
                <w:rFonts w:cs="Calibri"/>
                <w:sz w:val="22"/>
              </w:rPr>
            </w:pPr>
            <w:r w:rsidRPr="003A0DD1">
              <w:rPr>
                <w:rFonts w:cs="Arial"/>
                <w:sz w:val="22"/>
              </w:rPr>
              <w:t>Nedaňové příjmy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E885" w14:textId="77777777" w:rsidR="0028004C" w:rsidRPr="003A0DD1" w:rsidRDefault="0028004C" w:rsidP="00C705CB">
            <w:pPr>
              <w:ind w:right="200"/>
              <w:jc w:val="right"/>
              <w:rPr>
                <w:rFonts w:cs="Arial"/>
                <w:sz w:val="22"/>
              </w:rPr>
            </w:pPr>
            <w:r w:rsidRPr="003A0DD1">
              <w:rPr>
                <w:rFonts w:cs="Arial"/>
                <w:sz w:val="22"/>
              </w:rPr>
              <w:t>3 859</w:t>
            </w:r>
          </w:p>
        </w:tc>
      </w:tr>
      <w:tr w:rsidR="0028004C" w:rsidRPr="003A0DD1" w14:paraId="7AC77C1E" w14:textId="77777777" w:rsidTr="00C705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3AFD9" w14:textId="77777777" w:rsidR="0028004C" w:rsidRPr="003A0DD1" w:rsidRDefault="0028004C" w:rsidP="00C705CB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3A0DD1">
              <w:rPr>
                <w:rFonts w:cs="Calibri"/>
                <w:sz w:val="22"/>
              </w:rPr>
              <w:t>Běžné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DD1D5" w14:textId="77777777" w:rsidR="0028004C" w:rsidRPr="003A0DD1" w:rsidRDefault="0028004C" w:rsidP="00C705CB">
            <w:pPr>
              <w:ind w:right="200"/>
              <w:jc w:val="right"/>
              <w:rPr>
                <w:rFonts w:cs="Arial"/>
                <w:sz w:val="22"/>
              </w:rPr>
            </w:pPr>
            <w:r w:rsidRPr="003A0DD1">
              <w:rPr>
                <w:rFonts w:cs="Arial"/>
                <w:sz w:val="22"/>
              </w:rPr>
              <w:t>3 892</w:t>
            </w:r>
          </w:p>
        </w:tc>
      </w:tr>
      <w:tr w:rsidR="0028004C" w:rsidRPr="003A0DD1" w14:paraId="763D444B" w14:textId="77777777" w:rsidTr="00C705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17D63" w14:textId="77777777" w:rsidR="0028004C" w:rsidRPr="003A0DD1" w:rsidRDefault="0028004C" w:rsidP="00C705CB">
            <w:pPr>
              <w:spacing w:line="276" w:lineRule="auto"/>
              <w:jc w:val="both"/>
              <w:rPr>
                <w:rFonts w:cs="Calibri"/>
                <w:b/>
                <w:bCs/>
                <w:sz w:val="22"/>
              </w:rPr>
            </w:pPr>
            <w:r w:rsidRPr="003A0DD1">
              <w:rPr>
                <w:rFonts w:cs="Calibri"/>
                <w:b/>
                <w:bCs/>
                <w:sz w:val="22"/>
              </w:rPr>
              <w:t>Saldo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42DC9" w14:textId="77777777" w:rsidR="0028004C" w:rsidRPr="003A0DD1" w:rsidRDefault="0028004C" w:rsidP="00C705CB">
            <w:pPr>
              <w:ind w:right="200"/>
              <w:jc w:val="right"/>
              <w:rPr>
                <w:rFonts w:cs="Arial"/>
                <w:b/>
                <w:bCs/>
                <w:sz w:val="22"/>
              </w:rPr>
            </w:pPr>
            <w:r w:rsidRPr="003A0DD1">
              <w:rPr>
                <w:rFonts w:cs="Arial"/>
                <w:b/>
                <w:bCs/>
                <w:sz w:val="22"/>
              </w:rPr>
              <w:t>0</w:t>
            </w:r>
          </w:p>
        </w:tc>
      </w:tr>
    </w:tbl>
    <w:p w14:paraId="2771EE01" w14:textId="77777777" w:rsidR="0028004C" w:rsidRPr="001C65E1" w:rsidRDefault="0028004C" w:rsidP="0028004C">
      <w:pPr>
        <w:pStyle w:val="Odstavecseseznamem"/>
        <w:ind w:left="7080" w:firstLine="708"/>
        <w:rPr>
          <w:rFonts w:ascii="Calibri" w:hAnsi="Calibri" w:cs="Arial"/>
          <w:color w:val="FF0000"/>
          <w:sz w:val="24"/>
          <w:szCs w:val="24"/>
        </w:rPr>
      </w:pPr>
    </w:p>
    <w:p w14:paraId="58C46079" w14:textId="77777777" w:rsidR="0028004C" w:rsidRDefault="0028004C" w:rsidP="0028004C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b) rozpočtové opatření ZM č. 38</w:t>
      </w:r>
    </w:p>
    <w:p w14:paraId="00B5E012" w14:textId="77777777" w:rsidR="0028004C" w:rsidRDefault="0028004C" w:rsidP="0028004C">
      <w:pPr>
        <w:spacing w:after="5"/>
        <w:ind w:left="10" w:hanging="10"/>
        <w:jc w:val="both"/>
        <w:rPr>
          <w:rFonts w:cs="Calibri"/>
        </w:rPr>
      </w:pPr>
      <w:r>
        <w:rPr>
          <w:rFonts w:cs="Calibri"/>
        </w:rPr>
        <w:t>Název: Poskytnutí investičního transferu s vyúčtováním PO ZŠ a MŠ Sezimovo Ústí, 9. května v návaznosti na usnesení ZM č. 89/2023/7</w:t>
      </w:r>
      <w:r>
        <w:rPr>
          <w:rFonts w:cs="Calibri"/>
          <w:szCs w:val="24"/>
        </w:rPr>
        <w:t xml:space="preserve">  </w:t>
      </w:r>
      <w:r>
        <w:rPr>
          <w:rFonts w:cs="Calibri"/>
        </w:rPr>
        <w:t xml:space="preserve"> </w:t>
      </w:r>
    </w:p>
    <w:p w14:paraId="5C61CB69" w14:textId="77777777" w:rsidR="0028004C" w:rsidRPr="003A0DD1" w:rsidRDefault="0028004C" w:rsidP="0028004C">
      <w:pPr>
        <w:jc w:val="both"/>
        <w:rPr>
          <w:rFonts w:cs="Arial"/>
          <w:sz w:val="22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  </w:t>
      </w:r>
      <w:r w:rsidRPr="003A0DD1">
        <w:rPr>
          <w:rFonts w:cs="Arial"/>
          <w:sz w:val="22"/>
        </w:rPr>
        <w:t>tis. Kč</w:t>
      </w:r>
    </w:p>
    <w:tbl>
      <w:tblPr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693"/>
      </w:tblGrid>
      <w:tr w:rsidR="0028004C" w:rsidRPr="003A0DD1" w14:paraId="5B43947D" w14:textId="77777777" w:rsidTr="00C705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54FD1" w14:textId="77777777" w:rsidR="0028004C" w:rsidRPr="003A0DD1" w:rsidRDefault="0028004C" w:rsidP="00C705CB">
            <w:pPr>
              <w:jc w:val="both"/>
              <w:rPr>
                <w:rFonts w:cs="Arial"/>
                <w:sz w:val="22"/>
              </w:rPr>
            </w:pPr>
            <w:r w:rsidRPr="003A0DD1">
              <w:rPr>
                <w:rFonts w:cs="Arial"/>
                <w:sz w:val="22"/>
              </w:rPr>
              <w:t>Kapitálové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3CD9B" w14:textId="77777777" w:rsidR="0028004C" w:rsidRPr="003A0DD1" w:rsidRDefault="0028004C" w:rsidP="00C705CB">
            <w:pPr>
              <w:ind w:right="200"/>
              <w:jc w:val="right"/>
              <w:rPr>
                <w:rFonts w:cs="Arial"/>
                <w:sz w:val="22"/>
              </w:rPr>
            </w:pPr>
            <w:r w:rsidRPr="003A0DD1">
              <w:rPr>
                <w:rFonts w:cs="Arial"/>
                <w:sz w:val="22"/>
              </w:rPr>
              <w:t>1 000</w:t>
            </w:r>
          </w:p>
        </w:tc>
      </w:tr>
      <w:tr w:rsidR="0028004C" w:rsidRPr="003A0DD1" w14:paraId="464D6137" w14:textId="77777777" w:rsidTr="00C705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46FCD" w14:textId="77777777" w:rsidR="0028004C" w:rsidRPr="003A0DD1" w:rsidRDefault="0028004C" w:rsidP="00C705CB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3A0DD1">
              <w:rPr>
                <w:rFonts w:cs="Calibri"/>
                <w:sz w:val="22"/>
              </w:rPr>
              <w:t>Běžné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1F6FF" w14:textId="77777777" w:rsidR="0028004C" w:rsidRPr="003A0DD1" w:rsidRDefault="0028004C" w:rsidP="00C705CB">
            <w:pPr>
              <w:ind w:right="200"/>
              <w:jc w:val="right"/>
              <w:rPr>
                <w:rFonts w:cs="Arial"/>
                <w:sz w:val="22"/>
              </w:rPr>
            </w:pPr>
            <w:r w:rsidRPr="003A0DD1">
              <w:rPr>
                <w:rFonts w:cs="Arial"/>
                <w:sz w:val="22"/>
              </w:rPr>
              <w:t xml:space="preserve">-1 000 </w:t>
            </w:r>
          </w:p>
        </w:tc>
      </w:tr>
      <w:tr w:rsidR="0028004C" w:rsidRPr="003A0DD1" w14:paraId="32CA4018" w14:textId="77777777" w:rsidTr="00C705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746E3" w14:textId="77777777" w:rsidR="0028004C" w:rsidRPr="003A0DD1" w:rsidRDefault="0028004C" w:rsidP="00C705CB">
            <w:pPr>
              <w:spacing w:line="276" w:lineRule="auto"/>
              <w:jc w:val="both"/>
              <w:rPr>
                <w:rFonts w:cs="Calibri"/>
                <w:b/>
                <w:bCs/>
                <w:sz w:val="22"/>
              </w:rPr>
            </w:pPr>
            <w:r w:rsidRPr="003A0DD1">
              <w:rPr>
                <w:rFonts w:cs="Calibri"/>
                <w:b/>
                <w:bCs/>
                <w:sz w:val="22"/>
              </w:rPr>
              <w:t>Výdaje celkem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72604" w14:textId="77777777" w:rsidR="0028004C" w:rsidRPr="003A0DD1" w:rsidRDefault="0028004C" w:rsidP="00C705CB">
            <w:pPr>
              <w:ind w:right="200"/>
              <w:jc w:val="right"/>
              <w:rPr>
                <w:rFonts w:cs="Arial"/>
                <w:b/>
                <w:bCs/>
                <w:sz w:val="22"/>
              </w:rPr>
            </w:pPr>
            <w:r w:rsidRPr="003A0DD1">
              <w:rPr>
                <w:rFonts w:cs="Arial"/>
                <w:b/>
                <w:bCs/>
                <w:sz w:val="22"/>
              </w:rPr>
              <w:t>0</w:t>
            </w:r>
          </w:p>
        </w:tc>
      </w:tr>
    </w:tbl>
    <w:p w14:paraId="1409ADFD" w14:textId="77777777" w:rsidR="0028004C" w:rsidRPr="003A0DD1" w:rsidRDefault="0028004C" w:rsidP="0028004C">
      <w:pPr>
        <w:jc w:val="both"/>
        <w:rPr>
          <w:rFonts w:cs="Arial"/>
          <w:sz w:val="22"/>
        </w:rPr>
      </w:pPr>
    </w:p>
    <w:p w14:paraId="52649182" w14:textId="77777777" w:rsidR="0028004C" w:rsidRPr="003A0DD1" w:rsidRDefault="0028004C" w:rsidP="0028004C">
      <w:pPr>
        <w:pStyle w:val="Odstavecseseznamem"/>
        <w:ind w:left="0"/>
        <w:rPr>
          <w:rFonts w:ascii="Calibri" w:eastAsia="Calibri" w:hAnsi="Calibri" w:cs="Calibri"/>
          <w:sz w:val="18"/>
        </w:rPr>
      </w:pPr>
      <w:r w:rsidRPr="003A0DD1">
        <w:rPr>
          <w:rFonts w:ascii="Calibri" w:hAnsi="Calibri" w:cs="Calibri"/>
          <w:smallCaps/>
          <w:sz w:val="22"/>
          <w:szCs w:val="22"/>
        </w:rPr>
        <w:t>Změna závazných ukazatelů – rozpočtová věta</w:t>
      </w:r>
    </w:p>
    <w:tbl>
      <w:tblPr>
        <w:tblW w:w="8787" w:type="dxa"/>
        <w:tblInd w:w="-70" w:type="dxa"/>
        <w:tblCellMar>
          <w:top w:w="53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757"/>
        <w:gridCol w:w="706"/>
        <w:gridCol w:w="1004"/>
        <w:gridCol w:w="4194"/>
        <w:gridCol w:w="2126"/>
      </w:tblGrid>
      <w:tr w:rsidR="0028004C" w:rsidRPr="003A0DD1" w14:paraId="4BE6101B" w14:textId="77777777" w:rsidTr="00C705CB">
        <w:trPr>
          <w:trHeight w:val="30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F16D1" w14:textId="77777777" w:rsidR="0028004C" w:rsidRPr="003A0DD1" w:rsidRDefault="0028004C" w:rsidP="00C705CB">
            <w:pPr>
              <w:spacing w:line="252" w:lineRule="auto"/>
              <w:rPr>
                <w:rFonts w:cs="Calibri"/>
                <w:sz w:val="22"/>
              </w:rPr>
            </w:pPr>
            <w:r w:rsidRPr="003A0DD1">
              <w:rPr>
                <w:rFonts w:cs="Calibri"/>
                <w:sz w:val="22"/>
              </w:rPr>
              <w:t xml:space="preserve">ORJ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B5406" w14:textId="77777777" w:rsidR="0028004C" w:rsidRPr="003A0DD1" w:rsidRDefault="0028004C" w:rsidP="00C705CB">
            <w:pPr>
              <w:spacing w:line="252" w:lineRule="auto"/>
              <w:ind w:left="2"/>
              <w:rPr>
                <w:rFonts w:cs="Calibri"/>
                <w:sz w:val="22"/>
              </w:rPr>
            </w:pPr>
            <w:r w:rsidRPr="003A0DD1">
              <w:rPr>
                <w:rFonts w:cs="Calibri"/>
                <w:sz w:val="22"/>
              </w:rPr>
              <w:t xml:space="preserve">Odd.§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4D02" w14:textId="77777777" w:rsidR="0028004C" w:rsidRPr="003A0DD1" w:rsidRDefault="0028004C" w:rsidP="00C705CB">
            <w:pPr>
              <w:spacing w:line="252" w:lineRule="auto"/>
              <w:ind w:left="2"/>
              <w:rPr>
                <w:rFonts w:cs="Calibri"/>
                <w:sz w:val="22"/>
              </w:rPr>
            </w:pPr>
            <w:r w:rsidRPr="003A0DD1">
              <w:rPr>
                <w:rFonts w:cs="Calibri"/>
                <w:sz w:val="22"/>
              </w:rPr>
              <w:t xml:space="preserve">POLOŽKA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E35F7" w14:textId="77777777" w:rsidR="0028004C" w:rsidRPr="003A0DD1" w:rsidRDefault="0028004C" w:rsidP="00C705CB">
            <w:pPr>
              <w:spacing w:line="252" w:lineRule="auto"/>
              <w:ind w:left="2"/>
              <w:rPr>
                <w:rFonts w:cs="Calibri"/>
                <w:sz w:val="22"/>
              </w:rPr>
            </w:pPr>
            <w:r w:rsidRPr="003A0DD1">
              <w:rPr>
                <w:rFonts w:cs="Calibri"/>
                <w:sz w:val="22"/>
              </w:rPr>
              <w:t xml:space="preserve">Text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48AE" w14:textId="77777777" w:rsidR="0028004C" w:rsidRPr="003A0DD1" w:rsidRDefault="0028004C" w:rsidP="00C705CB">
            <w:pPr>
              <w:spacing w:line="252" w:lineRule="auto"/>
              <w:ind w:left="2"/>
              <w:rPr>
                <w:rFonts w:cs="Calibri"/>
                <w:sz w:val="22"/>
              </w:rPr>
            </w:pPr>
            <w:r w:rsidRPr="003A0DD1">
              <w:rPr>
                <w:rFonts w:cs="Calibri"/>
                <w:sz w:val="22"/>
              </w:rPr>
              <w:t xml:space="preserve">        tis. Kč </w:t>
            </w:r>
          </w:p>
        </w:tc>
      </w:tr>
      <w:tr w:rsidR="0028004C" w:rsidRPr="003A0DD1" w14:paraId="16CD1C53" w14:textId="77777777" w:rsidTr="00C705CB">
        <w:trPr>
          <w:trHeight w:val="30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4ADEE" w14:textId="77777777" w:rsidR="0028004C" w:rsidRPr="003A0DD1" w:rsidRDefault="0028004C" w:rsidP="00C705CB">
            <w:pPr>
              <w:spacing w:line="252" w:lineRule="auto"/>
              <w:rPr>
                <w:rFonts w:cs="Calibri"/>
                <w:sz w:val="22"/>
              </w:rPr>
            </w:pPr>
            <w:r w:rsidRPr="003A0DD1">
              <w:rPr>
                <w:rFonts w:cs="Calibri"/>
                <w:sz w:val="22"/>
              </w:rPr>
              <w:t>421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604C" w14:textId="77777777" w:rsidR="0028004C" w:rsidRPr="003A0DD1" w:rsidRDefault="0028004C" w:rsidP="00C705CB">
            <w:pPr>
              <w:spacing w:line="252" w:lineRule="auto"/>
              <w:ind w:left="2"/>
              <w:rPr>
                <w:rFonts w:cs="Calibri"/>
                <w:sz w:val="22"/>
              </w:rPr>
            </w:pPr>
            <w:r w:rsidRPr="003A0DD1">
              <w:rPr>
                <w:rFonts w:cs="Calibri"/>
                <w:sz w:val="22"/>
              </w:rPr>
              <w:t>3113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1F79" w14:textId="77777777" w:rsidR="0028004C" w:rsidRPr="003A0DD1" w:rsidRDefault="0028004C" w:rsidP="00C705CB">
            <w:pPr>
              <w:spacing w:line="252" w:lineRule="auto"/>
              <w:ind w:left="84"/>
              <w:rPr>
                <w:rFonts w:cs="Calibri"/>
                <w:sz w:val="22"/>
              </w:rPr>
            </w:pPr>
            <w:r w:rsidRPr="003A0DD1">
              <w:rPr>
                <w:rFonts w:cs="Calibri"/>
                <w:sz w:val="22"/>
              </w:rPr>
              <w:t xml:space="preserve">6351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32F5" w14:textId="77777777" w:rsidR="0028004C" w:rsidRPr="003A0DD1" w:rsidRDefault="0028004C" w:rsidP="00C705CB">
            <w:pPr>
              <w:spacing w:line="252" w:lineRule="auto"/>
              <w:ind w:left="2"/>
              <w:rPr>
                <w:rFonts w:cs="Calibri"/>
                <w:sz w:val="22"/>
              </w:rPr>
            </w:pPr>
            <w:r w:rsidRPr="003A0DD1">
              <w:rPr>
                <w:rFonts w:cs="Calibri"/>
                <w:sz w:val="22"/>
              </w:rPr>
              <w:t xml:space="preserve">Investiční transfery zřízeným PO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BE38" w14:textId="77777777" w:rsidR="0028004C" w:rsidRPr="003A0DD1" w:rsidRDefault="0028004C" w:rsidP="0028004C">
            <w:pPr>
              <w:numPr>
                <w:ilvl w:val="0"/>
                <w:numId w:val="47"/>
              </w:numPr>
              <w:suppressAutoHyphens w:val="0"/>
              <w:spacing w:line="252" w:lineRule="auto"/>
              <w:ind w:right="56"/>
              <w:jc w:val="right"/>
              <w:rPr>
                <w:rFonts w:cs="Calibri"/>
                <w:sz w:val="22"/>
              </w:rPr>
            </w:pPr>
            <w:r w:rsidRPr="003A0DD1">
              <w:rPr>
                <w:rFonts w:cs="Calibri"/>
                <w:sz w:val="22"/>
              </w:rPr>
              <w:t>000</w:t>
            </w:r>
          </w:p>
        </w:tc>
      </w:tr>
    </w:tbl>
    <w:p w14:paraId="55C4558C" w14:textId="77777777" w:rsidR="0028004C" w:rsidRDefault="0028004C" w:rsidP="0028004C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</w:p>
    <w:p w14:paraId="6812BAF1" w14:textId="77777777" w:rsidR="0028004C" w:rsidRPr="003A0DD1" w:rsidRDefault="0028004C" w:rsidP="0028004C">
      <w:pPr>
        <w:pStyle w:val="Odstavecseseznamem"/>
        <w:ind w:left="0"/>
        <w:rPr>
          <w:rFonts w:ascii="Calibri" w:hAnsi="Calibri" w:cs="Arial"/>
          <w:sz w:val="22"/>
          <w:szCs w:val="22"/>
        </w:rPr>
      </w:pPr>
      <w:r w:rsidRPr="003A0DD1">
        <w:rPr>
          <w:rFonts w:ascii="Calibri" w:hAnsi="Calibri" w:cs="Arial"/>
          <w:sz w:val="22"/>
          <w:szCs w:val="22"/>
        </w:rPr>
        <w:t>Finanční vypořádání a vrácení peněz bude provedeno organizací do 15 dnů od přijetí závěrečné platby z prostředků IROP, v případě nepřiznání dotace do 15 dnů ode dne ukončení realizace projektu.</w:t>
      </w:r>
    </w:p>
    <w:p w14:paraId="27D5DC48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43A7DC23" w14:textId="77777777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6C363265" w14:textId="29C26F84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>Rozpočtová opatření rady města na r. 2024 č. 15–16 (mat. č. 272/2024</w:t>
      </w:r>
      <w:r>
        <w:rPr>
          <w:rFonts w:cs="Calibri"/>
          <w:b/>
          <w:snapToGrid w:val="0"/>
          <w:szCs w:val="24"/>
        </w:rPr>
        <w:t>)</w:t>
      </w:r>
    </w:p>
    <w:p w14:paraId="3F268B4A" w14:textId="39156716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276</w:t>
      </w:r>
      <w:r w:rsidRPr="00876DA8">
        <w:rPr>
          <w:rFonts w:cs="Calibri"/>
          <w:b/>
          <w:szCs w:val="24"/>
          <w:u w:val="single"/>
        </w:rPr>
        <w:t>/2024</w:t>
      </w:r>
    </w:p>
    <w:p w14:paraId="44BA69A7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33AB86ED" w14:textId="77777777" w:rsidR="003A0DD1" w:rsidRDefault="003A0DD1" w:rsidP="003A0DD1">
      <w:pPr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I. Schvaluje</w:t>
      </w:r>
    </w:p>
    <w:p w14:paraId="5663F24F" w14:textId="77777777" w:rsidR="003A0DD1" w:rsidRDefault="003A0DD1" w:rsidP="003A0DD1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a) rozpočtové opatření RM č. 15</w:t>
      </w:r>
    </w:p>
    <w:p w14:paraId="5353B417" w14:textId="77777777" w:rsidR="003A0DD1" w:rsidRDefault="003A0DD1" w:rsidP="003A0DD1">
      <w:pPr>
        <w:spacing w:after="5"/>
        <w:ind w:left="10" w:hanging="10"/>
        <w:jc w:val="both"/>
        <w:rPr>
          <w:rFonts w:cs="Calibri"/>
          <w:i/>
          <w:iCs/>
          <w:color w:val="000000"/>
        </w:rPr>
      </w:pPr>
      <w:r>
        <w:rPr>
          <w:rFonts w:cs="Calibri"/>
          <w:color w:val="000000"/>
        </w:rPr>
        <w:t xml:space="preserve">Název: Navýšení výdajů na investiční akci </w:t>
      </w:r>
      <w:r>
        <w:rPr>
          <w:rFonts w:cs="Calibri"/>
          <w:i/>
          <w:iCs/>
          <w:color w:val="000000"/>
        </w:rPr>
        <w:t xml:space="preserve">„Komunikace </w:t>
      </w:r>
      <w:proofErr w:type="spellStart"/>
      <w:r>
        <w:rPr>
          <w:rFonts w:cs="Calibri"/>
          <w:i/>
          <w:iCs/>
          <w:color w:val="000000"/>
        </w:rPr>
        <w:t>Vítkovecká</w:t>
      </w:r>
      <w:proofErr w:type="spellEnd"/>
      <w:r>
        <w:rPr>
          <w:rFonts w:cs="Calibri"/>
          <w:i/>
          <w:iCs/>
          <w:color w:val="000000"/>
        </w:rPr>
        <w:t>“</w:t>
      </w:r>
    </w:p>
    <w:p w14:paraId="54E5658D" w14:textId="77777777" w:rsidR="008F5889" w:rsidRDefault="008F5889" w:rsidP="003A0DD1">
      <w:pPr>
        <w:spacing w:after="5"/>
        <w:ind w:left="10" w:hanging="10"/>
        <w:jc w:val="both"/>
        <w:rPr>
          <w:rFonts w:cs="Calibri"/>
          <w:color w:val="000000"/>
          <w:sz w:val="20"/>
        </w:rPr>
      </w:pPr>
    </w:p>
    <w:p w14:paraId="4D30A5B4" w14:textId="77777777" w:rsidR="003A0DD1" w:rsidRPr="008F5889" w:rsidRDefault="003A0DD1" w:rsidP="003A0DD1">
      <w:pPr>
        <w:spacing w:after="5"/>
        <w:ind w:left="10" w:hanging="1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Pr="003A0DD1">
        <w:rPr>
          <w:rFonts w:cs="Calibri"/>
          <w:color w:val="000000"/>
          <w:sz w:val="22"/>
          <w:szCs w:val="20"/>
        </w:rPr>
        <w:tab/>
      </w:r>
      <w:r w:rsidRPr="008F5889">
        <w:rPr>
          <w:rFonts w:cs="Calibri"/>
          <w:color w:val="000000"/>
        </w:rPr>
        <w:t xml:space="preserve"> tis. Kč</w:t>
      </w:r>
    </w:p>
    <w:tbl>
      <w:tblPr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693"/>
      </w:tblGrid>
      <w:tr w:rsidR="003A0DD1" w:rsidRPr="008F5889" w14:paraId="2541E031" w14:textId="77777777" w:rsidTr="00C705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1D1F1" w14:textId="77777777" w:rsidR="003A0DD1" w:rsidRPr="008F5889" w:rsidRDefault="003A0DD1" w:rsidP="00C705CB">
            <w:pPr>
              <w:jc w:val="both"/>
              <w:rPr>
                <w:rFonts w:cs="Arial"/>
                <w:szCs w:val="24"/>
              </w:rPr>
            </w:pPr>
            <w:r w:rsidRPr="008F5889">
              <w:rPr>
                <w:rFonts w:cs="Arial"/>
                <w:bCs/>
                <w:szCs w:val="24"/>
              </w:rPr>
              <w:t>Kapitálové výdaje</w:t>
            </w:r>
            <w:r w:rsidRPr="008F5889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FE571" w14:textId="77777777" w:rsidR="003A0DD1" w:rsidRPr="008F5889" w:rsidRDefault="003A0DD1" w:rsidP="00C705CB">
            <w:pPr>
              <w:ind w:right="200"/>
              <w:jc w:val="right"/>
              <w:rPr>
                <w:rFonts w:cs="Arial"/>
                <w:szCs w:val="24"/>
              </w:rPr>
            </w:pPr>
            <w:r w:rsidRPr="008F5889">
              <w:rPr>
                <w:rFonts w:cs="Arial"/>
                <w:szCs w:val="24"/>
              </w:rPr>
              <w:t>8</w:t>
            </w:r>
          </w:p>
        </w:tc>
      </w:tr>
      <w:tr w:rsidR="003A0DD1" w:rsidRPr="008F5889" w14:paraId="575DC7A7" w14:textId="77777777" w:rsidTr="00C705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27DDB" w14:textId="77777777" w:rsidR="003A0DD1" w:rsidRPr="008F5889" w:rsidRDefault="003A0DD1" w:rsidP="00C705CB">
            <w:pPr>
              <w:jc w:val="both"/>
              <w:rPr>
                <w:rFonts w:cs="Arial"/>
                <w:bCs/>
                <w:szCs w:val="24"/>
              </w:rPr>
            </w:pPr>
            <w:r w:rsidRPr="008F5889">
              <w:rPr>
                <w:rFonts w:cs="Arial"/>
                <w:szCs w:val="24"/>
              </w:rPr>
              <w:t>Běžné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33464" w14:textId="77777777" w:rsidR="003A0DD1" w:rsidRPr="008F5889" w:rsidRDefault="003A0DD1" w:rsidP="00C705CB">
            <w:pPr>
              <w:ind w:right="184"/>
              <w:jc w:val="center"/>
              <w:rPr>
                <w:rFonts w:cs="Arial"/>
                <w:bCs/>
                <w:szCs w:val="24"/>
              </w:rPr>
            </w:pPr>
            <w:r w:rsidRPr="008F5889">
              <w:rPr>
                <w:rFonts w:cs="Arial"/>
                <w:bCs/>
                <w:szCs w:val="24"/>
              </w:rPr>
              <w:t xml:space="preserve">                                      -8</w:t>
            </w:r>
          </w:p>
        </w:tc>
      </w:tr>
      <w:tr w:rsidR="003A0DD1" w:rsidRPr="008F5889" w14:paraId="79D344D3" w14:textId="77777777" w:rsidTr="00C705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3E17" w14:textId="77777777" w:rsidR="003A0DD1" w:rsidRPr="008F5889" w:rsidRDefault="003A0DD1" w:rsidP="00C705CB">
            <w:pPr>
              <w:jc w:val="both"/>
              <w:rPr>
                <w:rFonts w:cs="Arial"/>
                <w:b/>
                <w:szCs w:val="24"/>
              </w:rPr>
            </w:pPr>
            <w:r w:rsidRPr="008F5889">
              <w:rPr>
                <w:rFonts w:cs="Arial"/>
                <w:b/>
                <w:szCs w:val="24"/>
              </w:rPr>
              <w:t>Výdaje celkem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CBD3" w14:textId="77777777" w:rsidR="003A0DD1" w:rsidRPr="008F5889" w:rsidRDefault="003A0DD1" w:rsidP="00C705CB">
            <w:pPr>
              <w:ind w:right="200"/>
              <w:jc w:val="right"/>
              <w:rPr>
                <w:rFonts w:cs="Arial"/>
                <w:b/>
                <w:szCs w:val="24"/>
              </w:rPr>
            </w:pPr>
            <w:r w:rsidRPr="008F5889">
              <w:rPr>
                <w:rFonts w:cs="Arial"/>
                <w:b/>
                <w:szCs w:val="24"/>
              </w:rPr>
              <w:t>0</w:t>
            </w:r>
          </w:p>
        </w:tc>
      </w:tr>
    </w:tbl>
    <w:p w14:paraId="3904576D" w14:textId="77777777" w:rsidR="003A0DD1" w:rsidRPr="008F5889" w:rsidRDefault="003A0DD1" w:rsidP="003A0DD1">
      <w:pPr>
        <w:pStyle w:val="Odstavecseseznamem"/>
        <w:ind w:left="0"/>
        <w:rPr>
          <w:rFonts w:ascii="Calibri" w:hAnsi="Calibri" w:cs="Calibri"/>
          <w:smallCaps/>
          <w:sz w:val="24"/>
          <w:szCs w:val="24"/>
        </w:rPr>
      </w:pPr>
    </w:p>
    <w:p w14:paraId="769AC557" w14:textId="77777777" w:rsidR="003A0DD1" w:rsidRPr="008F5889" w:rsidRDefault="003A0DD1" w:rsidP="003A0DD1">
      <w:pPr>
        <w:pStyle w:val="Odstavecseseznamem"/>
        <w:ind w:left="0"/>
        <w:rPr>
          <w:rFonts w:ascii="Calibri" w:hAnsi="Calibri" w:cs="Arial"/>
          <w:szCs w:val="24"/>
        </w:rPr>
      </w:pPr>
      <w:r w:rsidRPr="008F5889">
        <w:rPr>
          <w:rFonts w:ascii="Calibri" w:hAnsi="Calibri" w:cs="Calibri"/>
          <w:smallCaps/>
          <w:sz w:val="24"/>
          <w:szCs w:val="24"/>
        </w:rPr>
        <w:lastRenderedPageBreak/>
        <w:t>Změna závazných ukazatelů – rozpočtová věta</w:t>
      </w: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32"/>
        <w:gridCol w:w="783"/>
        <w:gridCol w:w="4678"/>
        <w:gridCol w:w="1701"/>
      </w:tblGrid>
      <w:tr w:rsidR="003A0DD1" w:rsidRPr="008F5889" w14:paraId="4D5A716B" w14:textId="77777777" w:rsidTr="00C705CB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18528" w14:textId="77777777" w:rsidR="003A0DD1" w:rsidRPr="008F5889" w:rsidRDefault="003A0DD1" w:rsidP="00C705CB">
            <w:pPr>
              <w:spacing w:line="276" w:lineRule="auto"/>
              <w:jc w:val="right"/>
              <w:rPr>
                <w:rFonts w:cs="Arial"/>
                <w:szCs w:val="24"/>
                <w:lang w:eastAsia="en-US"/>
              </w:rPr>
            </w:pPr>
            <w:r w:rsidRPr="008F5889">
              <w:rPr>
                <w:rFonts w:cs="Arial"/>
                <w:szCs w:val="24"/>
                <w:lang w:eastAsia="en-US"/>
              </w:rPr>
              <w:t>ORJ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E0E66" w14:textId="77777777" w:rsidR="003A0DD1" w:rsidRPr="008F5889" w:rsidRDefault="003A0DD1" w:rsidP="00C705CB">
            <w:pPr>
              <w:spacing w:line="276" w:lineRule="auto"/>
              <w:jc w:val="right"/>
              <w:rPr>
                <w:rFonts w:cs="Arial"/>
                <w:szCs w:val="24"/>
                <w:lang w:eastAsia="en-US"/>
              </w:rPr>
            </w:pPr>
            <w:r w:rsidRPr="008F5889">
              <w:rPr>
                <w:rFonts w:cs="Arial"/>
                <w:szCs w:val="24"/>
                <w:lang w:eastAsia="en-US"/>
              </w:rPr>
              <w:t>Odd.§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B21BE" w14:textId="77777777" w:rsidR="003A0DD1" w:rsidRPr="008F5889" w:rsidRDefault="003A0DD1" w:rsidP="00C705CB">
            <w:pPr>
              <w:spacing w:line="276" w:lineRule="auto"/>
              <w:jc w:val="center"/>
              <w:rPr>
                <w:rFonts w:cs="Arial"/>
                <w:szCs w:val="24"/>
                <w:lang w:eastAsia="en-US"/>
              </w:rPr>
            </w:pPr>
            <w:r w:rsidRPr="008F5889">
              <w:rPr>
                <w:rFonts w:cs="Arial"/>
                <w:szCs w:val="24"/>
                <w:lang w:eastAsia="en-US"/>
              </w:rPr>
              <w:t>POL.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A42D3" w14:textId="77777777" w:rsidR="003A0DD1" w:rsidRPr="008F5889" w:rsidRDefault="003A0DD1" w:rsidP="00C705CB">
            <w:pPr>
              <w:spacing w:line="276" w:lineRule="auto"/>
              <w:jc w:val="center"/>
              <w:rPr>
                <w:rFonts w:cs="Arial"/>
                <w:szCs w:val="24"/>
                <w:lang w:eastAsia="en-US"/>
              </w:rPr>
            </w:pPr>
            <w:r w:rsidRPr="008F5889">
              <w:rPr>
                <w:rFonts w:cs="Arial"/>
                <w:szCs w:val="24"/>
                <w:lang w:eastAsia="en-US"/>
              </w:rPr>
              <w:t>TEXT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27976" w14:textId="77777777" w:rsidR="003A0DD1" w:rsidRPr="008F5889" w:rsidRDefault="003A0DD1" w:rsidP="00C705CB">
            <w:pPr>
              <w:spacing w:line="276" w:lineRule="auto"/>
              <w:ind w:right="214"/>
              <w:jc w:val="center"/>
              <w:rPr>
                <w:rFonts w:cs="Arial"/>
                <w:szCs w:val="24"/>
                <w:lang w:eastAsia="en-US"/>
              </w:rPr>
            </w:pPr>
            <w:r w:rsidRPr="008F5889">
              <w:rPr>
                <w:rFonts w:cs="Arial"/>
                <w:szCs w:val="24"/>
                <w:lang w:eastAsia="en-US"/>
              </w:rPr>
              <w:t>tis. Kč</w:t>
            </w:r>
          </w:p>
        </w:tc>
      </w:tr>
      <w:tr w:rsidR="003A0DD1" w:rsidRPr="008F5889" w14:paraId="718A45BD" w14:textId="77777777" w:rsidTr="00C705CB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DEFA3" w14:textId="77777777" w:rsidR="003A0DD1" w:rsidRPr="008F5889" w:rsidRDefault="003A0DD1" w:rsidP="00C705CB">
            <w:pPr>
              <w:spacing w:line="276" w:lineRule="auto"/>
              <w:jc w:val="right"/>
              <w:rPr>
                <w:rFonts w:cs="Arial"/>
                <w:szCs w:val="24"/>
                <w:lang w:eastAsia="en-US"/>
              </w:rPr>
            </w:pPr>
            <w:r w:rsidRPr="008F5889">
              <w:rPr>
                <w:rFonts w:cs="Arial"/>
                <w:szCs w:val="24"/>
                <w:lang w:eastAsia="en-US"/>
              </w:rPr>
              <w:t>650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F0AEC" w14:textId="77777777" w:rsidR="003A0DD1" w:rsidRPr="008F5889" w:rsidRDefault="003A0DD1" w:rsidP="00C705CB">
            <w:pPr>
              <w:spacing w:line="276" w:lineRule="auto"/>
              <w:jc w:val="right"/>
              <w:rPr>
                <w:rFonts w:cs="Arial"/>
                <w:szCs w:val="24"/>
                <w:lang w:eastAsia="en-US"/>
              </w:rPr>
            </w:pPr>
            <w:r w:rsidRPr="008F5889">
              <w:rPr>
                <w:rFonts w:cs="Arial"/>
                <w:szCs w:val="24"/>
                <w:lang w:eastAsia="en-US"/>
              </w:rPr>
              <w:t>2212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2B6E3" w14:textId="77777777" w:rsidR="003A0DD1" w:rsidRPr="008F5889" w:rsidRDefault="003A0DD1" w:rsidP="00C705CB">
            <w:pPr>
              <w:spacing w:line="276" w:lineRule="auto"/>
              <w:jc w:val="right"/>
              <w:rPr>
                <w:rFonts w:cs="Arial"/>
                <w:szCs w:val="24"/>
                <w:lang w:eastAsia="en-US"/>
              </w:rPr>
            </w:pPr>
            <w:r w:rsidRPr="008F5889">
              <w:rPr>
                <w:rFonts w:cs="Arial"/>
                <w:szCs w:val="24"/>
                <w:lang w:eastAsia="en-US"/>
              </w:rPr>
              <w:t>6121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EC9F3" w14:textId="77777777" w:rsidR="003A0DD1" w:rsidRPr="008F5889" w:rsidRDefault="003A0DD1" w:rsidP="00C705CB">
            <w:pPr>
              <w:spacing w:line="276" w:lineRule="auto"/>
              <w:rPr>
                <w:rFonts w:cs="Arial"/>
                <w:szCs w:val="24"/>
                <w:lang w:eastAsia="en-US"/>
              </w:rPr>
            </w:pPr>
            <w:r w:rsidRPr="008F5889">
              <w:rPr>
                <w:rFonts w:cs="Arial"/>
                <w:szCs w:val="24"/>
                <w:lang w:eastAsia="en-US"/>
              </w:rPr>
              <w:t>Budovy, haly a stavby, ORG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664E9" w14:textId="77777777" w:rsidR="003A0DD1" w:rsidRPr="008F5889" w:rsidRDefault="003A0DD1" w:rsidP="00C705CB">
            <w:pPr>
              <w:spacing w:line="276" w:lineRule="auto"/>
              <w:ind w:right="214"/>
              <w:jc w:val="right"/>
              <w:rPr>
                <w:rFonts w:cs="Arial"/>
                <w:szCs w:val="24"/>
                <w:lang w:eastAsia="en-US"/>
              </w:rPr>
            </w:pPr>
            <w:r w:rsidRPr="008F5889">
              <w:rPr>
                <w:rFonts w:cs="Arial"/>
                <w:szCs w:val="24"/>
                <w:lang w:eastAsia="en-US"/>
              </w:rPr>
              <w:t>8</w:t>
            </w:r>
          </w:p>
        </w:tc>
      </w:tr>
    </w:tbl>
    <w:p w14:paraId="4DFE0824" w14:textId="77777777" w:rsidR="003A0DD1" w:rsidRPr="003A0DD1" w:rsidRDefault="003A0DD1" w:rsidP="003A0DD1">
      <w:pPr>
        <w:pStyle w:val="Odstavecseseznamem"/>
        <w:ind w:left="0"/>
        <w:rPr>
          <w:rFonts w:ascii="Calibri" w:hAnsi="Calibri" w:cs="Arial"/>
          <w:sz w:val="22"/>
          <w:szCs w:val="22"/>
          <w:u w:val="single"/>
        </w:rPr>
      </w:pPr>
    </w:p>
    <w:p w14:paraId="258B1A42" w14:textId="77777777" w:rsidR="003A0DD1" w:rsidRDefault="003A0DD1" w:rsidP="003A0DD1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b) rozpočtové opatření RM č. 16</w:t>
      </w:r>
    </w:p>
    <w:p w14:paraId="647B0CE6" w14:textId="77777777" w:rsidR="003A0DD1" w:rsidRDefault="003A0DD1" w:rsidP="003A0DD1">
      <w:pPr>
        <w:spacing w:after="5"/>
        <w:ind w:left="10" w:hanging="10"/>
        <w:jc w:val="both"/>
        <w:rPr>
          <w:rFonts w:cs="Calibri"/>
          <w:i/>
          <w:iCs/>
          <w:color w:val="000000"/>
        </w:rPr>
      </w:pPr>
      <w:r>
        <w:rPr>
          <w:rFonts w:cs="Calibri"/>
          <w:color w:val="000000"/>
        </w:rPr>
        <w:t xml:space="preserve">Název: Zařazení nové investiční akce do rozpočtu města </w:t>
      </w:r>
      <w:r w:rsidRPr="00570B50">
        <w:rPr>
          <w:rFonts w:cs="Calibri"/>
          <w:i/>
          <w:iCs/>
          <w:color w:val="000000"/>
        </w:rPr>
        <w:t>„</w:t>
      </w:r>
      <w:r>
        <w:rPr>
          <w:rFonts w:cs="Calibri"/>
          <w:i/>
          <w:iCs/>
          <w:color w:val="000000"/>
        </w:rPr>
        <w:t xml:space="preserve">Pořízení klimatizace – budova </w:t>
      </w:r>
      <w:proofErr w:type="spellStart"/>
      <w:r>
        <w:rPr>
          <w:rFonts w:cs="Calibri"/>
          <w:i/>
          <w:iCs/>
          <w:color w:val="000000"/>
        </w:rPr>
        <w:t>MěÚ</w:t>
      </w:r>
      <w:proofErr w:type="spellEnd"/>
      <w:r>
        <w:rPr>
          <w:rFonts w:cs="Calibri"/>
          <w:i/>
          <w:iCs/>
          <w:color w:val="000000"/>
        </w:rPr>
        <w:t xml:space="preserve"> Sezimovo Ústí (knihovna)“</w:t>
      </w:r>
    </w:p>
    <w:p w14:paraId="5FAAB2DD" w14:textId="77777777" w:rsidR="003A0DD1" w:rsidRPr="008F5889" w:rsidRDefault="003A0DD1" w:rsidP="003A0DD1">
      <w:pPr>
        <w:spacing w:after="5"/>
        <w:ind w:left="10" w:hanging="10"/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Pr="008F5889">
        <w:rPr>
          <w:rFonts w:cs="Calibri"/>
          <w:color w:val="000000"/>
          <w:szCs w:val="24"/>
        </w:rPr>
        <w:t xml:space="preserve"> tis. Kč</w:t>
      </w:r>
    </w:p>
    <w:tbl>
      <w:tblPr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693"/>
      </w:tblGrid>
      <w:tr w:rsidR="003A0DD1" w:rsidRPr="008F5889" w14:paraId="22FB6560" w14:textId="77777777" w:rsidTr="00C705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CA3EC" w14:textId="77777777" w:rsidR="003A0DD1" w:rsidRPr="008F5889" w:rsidRDefault="003A0DD1" w:rsidP="00C705CB">
            <w:pPr>
              <w:jc w:val="both"/>
              <w:rPr>
                <w:rFonts w:cs="Arial"/>
                <w:szCs w:val="24"/>
              </w:rPr>
            </w:pPr>
            <w:r w:rsidRPr="008F5889">
              <w:rPr>
                <w:rFonts w:cs="Arial"/>
                <w:bCs/>
                <w:szCs w:val="24"/>
              </w:rPr>
              <w:t>Kapitálové výdaje</w:t>
            </w:r>
            <w:r w:rsidRPr="008F5889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97432" w14:textId="77777777" w:rsidR="003A0DD1" w:rsidRPr="008F5889" w:rsidRDefault="003A0DD1" w:rsidP="00C705CB">
            <w:pPr>
              <w:ind w:right="200"/>
              <w:jc w:val="right"/>
              <w:rPr>
                <w:rFonts w:cs="Arial"/>
                <w:szCs w:val="24"/>
              </w:rPr>
            </w:pPr>
            <w:r w:rsidRPr="008F5889">
              <w:rPr>
                <w:rFonts w:cs="Arial"/>
                <w:szCs w:val="24"/>
              </w:rPr>
              <w:t>42</w:t>
            </w:r>
          </w:p>
        </w:tc>
      </w:tr>
      <w:tr w:rsidR="003A0DD1" w:rsidRPr="008F5889" w14:paraId="5AC3D262" w14:textId="77777777" w:rsidTr="00C705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CEB18" w14:textId="77777777" w:rsidR="003A0DD1" w:rsidRPr="008F5889" w:rsidRDefault="003A0DD1" w:rsidP="00C705CB">
            <w:pPr>
              <w:jc w:val="both"/>
              <w:rPr>
                <w:rFonts w:cs="Arial"/>
                <w:bCs/>
                <w:szCs w:val="24"/>
              </w:rPr>
            </w:pPr>
            <w:r w:rsidRPr="008F5889">
              <w:rPr>
                <w:rFonts w:cs="Arial"/>
                <w:szCs w:val="24"/>
              </w:rPr>
              <w:t>Běžné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BBAD" w14:textId="77777777" w:rsidR="003A0DD1" w:rsidRPr="008F5889" w:rsidRDefault="003A0DD1" w:rsidP="00C705CB">
            <w:pPr>
              <w:ind w:right="-137"/>
              <w:jc w:val="center"/>
              <w:rPr>
                <w:rFonts w:cs="Arial"/>
                <w:bCs/>
                <w:szCs w:val="24"/>
              </w:rPr>
            </w:pPr>
            <w:r w:rsidRPr="008F5889">
              <w:rPr>
                <w:rFonts w:cs="Arial"/>
                <w:bCs/>
                <w:szCs w:val="24"/>
              </w:rPr>
              <w:t xml:space="preserve">                              -42</w:t>
            </w:r>
          </w:p>
        </w:tc>
      </w:tr>
      <w:tr w:rsidR="003A0DD1" w:rsidRPr="008F5889" w14:paraId="712D45B2" w14:textId="77777777" w:rsidTr="00C705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E114" w14:textId="77777777" w:rsidR="003A0DD1" w:rsidRPr="008F5889" w:rsidRDefault="003A0DD1" w:rsidP="00C705CB">
            <w:pPr>
              <w:jc w:val="both"/>
              <w:rPr>
                <w:rFonts w:cs="Arial"/>
                <w:b/>
                <w:szCs w:val="24"/>
              </w:rPr>
            </w:pPr>
            <w:r w:rsidRPr="008F5889">
              <w:rPr>
                <w:rFonts w:cs="Arial"/>
                <w:b/>
                <w:szCs w:val="24"/>
              </w:rPr>
              <w:t>Výdaje celkem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9030" w14:textId="77777777" w:rsidR="003A0DD1" w:rsidRPr="008F5889" w:rsidRDefault="003A0DD1" w:rsidP="00C705CB">
            <w:pPr>
              <w:ind w:right="200"/>
              <w:jc w:val="right"/>
              <w:rPr>
                <w:rFonts w:cs="Arial"/>
                <w:b/>
                <w:szCs w:val="24"/>
              </w:rPr>
            </w:pPr>
            <w:r w:rsidRPr="008F5889">
              <w:rPr>
                <w:rFonts w:cs="Arial"/>
                <w:b/>
                <w:szCs w:val="24"/>
              </w:rPr>
              <w:t>0</w:t>
            </w:r>
          </w:p>
        </w:tc>
      </w:tr>
    </w:tbl>
    <w:p w14:paraId="70D7A9B5" w14:textId="77777777" w:rsidR="003A0DD1" w:rsidRPr="008F5889" w:rsidRDefault="003A0DD1" w:rsidP="003A0DD1">
      <w:pPr>
        <w:ind w:left="720"/>
        <w:rPr>
          <w:rFonts w:cs="Arial"/>
          <w:szCs w:val="24"/>
        </w:rPr>
      </w:pPr>
    </w:p>
    <w:p w14:paraId="1C968243" w14:textId="77777777" w:rsidR="003A0DD1" w:rsidRPr="008F5889" w:rsidRDefault="003A0DD1" w:rsidP="003A0DD1">
      <w:pPr>
        <w:pStyle w:val="Odstavecseseznamem"/>
        <w:ind w:left="0"/>
        <w:rPr>
          <w:rFonts w:ascii="Calibri" w:hAnsi="Calibri" w:cs="Arial"/>
          <w:sz w:val="24"/>
          <w:szCs w:val="24"/>
        </w:rPr>
      </w:pPr>
      <w:r w:rsidRPr="008F5889">
        <w:rPr>
          <w:rFonts w:ascii="Calibri" w:hAnsi="Calibri" w:cs="Calibri"/>
          <w:smallCaps/>
          <w:sz w:val="24"/>
          <w:szCs w:val="24"/>
        </w:rPr>
        <w:t>Změna závazných ukazatelů – rozpočtová věta</w:t>
      </w:r>
    </w:p>
    <w:tbl>
      <w:tblPr>
        <w:tblW w:w="83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39"/>
        <w:gridCol w:w="859"/>
        <w:gridCol w:w="4407"/>
        <w:gridCol w:w="1600"/>
      </w:tblGrid>
      <w:tr w:rsidR="003A0DD1" w:rsidRPr="008F5889" w14:paraId="0B515185" w14:textId="77777777" w:rsidTr="00C705CB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0168" w14:textId="77777777" w:rsidR="003A0DD1" w:rsidRPr="008F5889" w:rsidRDefault="003A0DD1" w:rsidP="00C705CB">
            <w:pPr>
              <w:rPr>
                <w:color w:val="000000"/>
                <w:szCs w:val="24"/>
              </w:rPr>
            </w:pPr>
            <w:r w:rsidRPr="008F5889">
              <w:rPr>
                <w:color w:val="000000"/>
                <w:szCs w:val="24"/>
              </w:rPr>
              <w:t>ORJ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CE0B" w14:textId="77777777" w:rsidR="003A0DD1" w:rsidRPr="008F5889" w:rsidRDefault="003A0DD1" w:rsidP="00C705CB">
            <w:pPr>
              <w:rPr>
                <w:color w:val="000000"/>
                <w:szCs w:val="24"/>
              </w:rPr>
            </w:pPr>
            <w:r w:rsidRPr="008F5889">
              <w:rPr>
                <w:color w:val="000000"/>
                <w:szCs w:val="24"/>
              </w:rPr>
              <w:t>O§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5EFB" w14:textId="77777777" w:rsidR="003A0DD1" w:rsidRPr="008F5889" w:rsidRDefault="003A0DD1" w:rsidP="00C705CB">
            <w:pPr>
              <w:rPr>
                <w:color w:val="000000"/>
                <w:szCs w:val="24"/>
              </w:rPr>
            </w:pPr>
            <w:r w:rsidRPr="008F5889">
              <w:rPr>
                <w:color w:val="000000"/>
                <w:szCs w:val="24"/>
              </w:rPr>
              <w:t>POL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74A3" w14:textId="77777777" w:rsidR="003A0DD1" w:rsidRPr="008F5889" w:rsidRDefault="003A0DD1" w:rsidP="00C705CB">
            <w:pPr>
              <w:rPr>
                <w:color w:val="000000"/>
                <w:szCs w:val="24"/>
              </w:rPr>
            </w:pPr>
            <w:r w:rsidRPr="008F5889">
              <w:rPr>
                <w:color w:val="000000"/>
                <w:szCs w:val="24"/>
              </w:rPr>
              <w:t>Text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668F" w14:textId="77777777" w:rsidR="003A0DD1" w:rsidRPr="008F5889" w:rsidRDefault="003A0DD1" w:rsidP="00C705CB">
            <w:pPr>
              <w:jc w:val="right"/>
              <w:rPr>
                <w:color w:val="000000"/>
                <w:szCs w:val="24"/>
              </w:rPr>
            </w:pPr>
            <w:r w:rsidRPr="008F5889">
              <w:rPr>
                <w:color w:val="000000"/>
                <w:szCs w:val="24"/>
              </w:rPr>
              <w:t>tis. Kč</w:t>
            </w:r>
          </w:p>
        </w:tc>
      </w:tr>
      <w:tr w:rsidR="003A0DD1" w:rsidRPr="008F5889" w14:paraId="7ECBC02A" w14:textId="77777777" w:rsidTr="00C705CB">
        <w:trPr>
          <w:trHeight w:val="3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1F6D" w14:textId="77777777" w:rsidR="003A0DD1" w:rsidRPr="008F5889" w:rsidRDefault="003A0DD1" w:rsidP="00C705CB">
            <w:pPr>
              <w:jc w:val="right"/>
              <w:rPr>
                <w:color w:val="000000"/>
                <w:szCs w:val="24"/>
              </w:rPr>
            </w:pPr>
            <w:r w:rsidRPr="008F5889">
              <w:rPr>
                <w:color w:val="000000"/>
                <w:szCs w:val="24"/>
              </w:rPr>
              <w:t>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76B6" w14:textId="77777777" w:rsidR="003A0DD1" w:rsidRPr="008F5889" w:rsidRDefault="003A0DD1" w:rsidP="00C705CB">
            <w:pPr>
              <w:jc w:val="right"/>
              <w:rPr>
                <w:color w:val="000000"/>
                <w:szCs w:val="24"/>
              </w:rPr>
            </w:pPr>
            <w:r w:rsidRPr="008F5889">
              <w:rPr>
                <w:color w:val="000000"/>
                <w:szCs w:val="24"/>
              </w:rPr>
              <w:t>3314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DCFE" w14:textId="77777777" w:rsidR="003A0DD1" w:rsidRPr="008F5889" w:rsidRDefault="003A0DD1" w:rsidP="00C705CB">
            <w:pPr>
              <w:jc w:val="right"/>
              <w:rPr>
                <w:color w:val="000000"/>
                <w:szCs w:val="24"/>
              </w:rPr>
            </w:pPr>
            <w:r w:rsidRPr="008F5889">
              <w:rPr>
                <w:color w:val="000000"/>
                <w:szCs w:val="24"/>
              </w:rPr>
              <w:t>6122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AA95" w14:textId="77777777" w:rsidR="003A0DD1" w:rsidRPr="008F5889" w:rsidRDefault="003A0DD1" w:rsidP="00C705CB">
            <w:pPr>
              <w:rPr>
                <w:bCs/>
                <w:color w:val="000000"/>
                <w:szCs w:val="24"/>
              </w:rPr>
            </w:pPr>
            <w:r w:rsidRPr="008F5889">
              <w:rPr>
                <w:bCs/>
                <w:color w:val="000000"/>
                <w:szCs w:val="24"/>
              </w:rPr>
              <w:t>Stroje, přístroje a zařízení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D359" w14:textId="77777777" w:rsidR="003A0DD1" w:rsidRPr="008F5889" w:rsidRDefault="003A0DD1" w:rsidP="00C705CB">
            <w:pPr>
              <w:jc w:val="right"/>
              <w:rPr>
                <w:bCs/>
                <w:color w:val="000000"/>
                <w:szCs w:val="24"/>
              </w:rPr>
            </w:pPr>
            <w:r w:rsidRPr="008F5889">
              <w:rPr>
                <w:bCs/>
                <w:color w:val="000000"/>
                <w:szCs w:val="24"/>
              </w:rPr>
              <w:t>42</w:t>
            </w:r>
          </w:p>
        </w:tc>
      </w:tr>
    </w:tbl>
    <w:p w14:paraId="3E74085B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01FBB165" w14:textId="77777777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76383CB5" w14:textId="6CA3D522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t>Změna rozpisu rozpočtu č. 6–8/2024 (mat. č. 273/2024)</w:t>
      </w:r>
    </w:p>
    <w:p w14:paraId="0B6F91CB" w14:textId="1615D153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277</w:t>
      </w:r>
      <w:r w:rsidRPr="00876DA8">
        <w:rPr>
          <w:rFonts w:cs="Calibri"/>
          <w:b/>
          <w:szCs w:val="24"/>
          <w:u w:val="single"/>
        </w:rPr>
        <w:t>/2024</w:t>
      </w:r>
    </w:p>
    <w:p w14:paraId="6C6E9847" w14:textId="77777777" w:rsidR="003A0DD1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D7D645B" w14:textId="77777777" w:rsidR="003A0DD1" w:rsidRPr="00C91921" w:rsidRDefault="003A0DD1" w:rsidP="003A0DD1">
      <w:pPr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I. Schvaluje</w:t>
      </w:r>
    </w:p>
    <w:p w14:paraId="0E7FB9F9" w14:textId="77777777" w:rsidR="003A0DD1" w:rsidRDefault="003A0DD1" w:rsidP="003A0DD1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a) změnu rozpisu rozpočtu č. 6</w:t>
      </w:r>
    </w:p>
    <w:p w14:paraId="550E40CD" w14:textId="76FD0390" w:rsidR="003A0DD1" w:rsidRDefault="003A0DD1" w:rsidP="003A0DD1">
      <w:pPr>
        <w:pStyle w:val="Odstavecseseznamem"/>
        <w:ind w:left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Název: Výměna nefunkčních </w:t>
      </w:r>
      <w:r w:rsidRPr="00FE51E3">
        <w:rPr>
          <w:rFonts w:ascii="Calibri" w:hAnsi="Calibri" w:cs="Arial"/>
          <w:sz w:val="24"/>
          <w:szCs w:val="24"/>
        </w:rPr>
        <w:t>IRTN na radiátorech</w:t>
      </w:r>
      <w:r>
        <w:rPr>
          <w:rFonts w:ascii="Calibri" w:hAnsi="Calibri" w:cs="Arial"/>
          <w:sz w:val="24"/>
          <w:szCs w:val="24"/>
        </w:rPr>
        <w:t xml:space="preserve"> v bytových domech</w:t>
      </w:r>
      <w:r w:rsidRPr="00FE51E3">
        <w:rPr>
          <w:rFonts w:ascii="Calibri" w:hAnsi="Calibri" w:cs="Arial"/>
          <w:sz w:val="24"/>
          <w:szCs w:val="24"/>
        </w:rPr>
        <w:t xml:space="preserve"> /měřiče tepla</w:t>
      </w:r>
      <w:r>
        <w:rPr>
          <w:rFonts w:ascii="Calibri" w:hAnsi="Calibri" w:cs="Arial"/>
          <w:sz w:val="24"/>
          <w:szCs w:val="24"/>
        </w:rPr>
        <w:t>/</w:t>
      </w:r>
    </w:p>
    <w:p w14:paraId="113907CB" w14:textId="77777777" w:rsidR="008F5889" w:rsidRDefault="008F5889" w:rsidP="003A0DD1">
      <w:pPr>
        <w:pStyle w:val="Odstavecseseznamem"/>
        <w:ind w:left="0"/>
        <w:rPr>
          <w:rFonts w:ascii="Calibri" w:hAnsi="Calibri" w:cs="Arial"/>
          <w:sz w:val="24"/>
          <w:szCs w:val="24"/>
        </w:rPr>
      </w:pPr>
    </w:p>
    <w:tbl>
      <w:tblPr>
        <w:tblW w:w="8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40"/>
        <w:gridCol w:w="983"/>
        <w:gridCol w:w="4640"/>
        <w:gridCol w:w="1680"/>
      </w:tblGrid>
      <w:tr w:rsidR="003A0DD1" w:rsidRPr="003A0DD1" w14:paraId="42E6D724" w14:textId="77777777" w:rsidTr="00C705C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A220B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ORJ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8F590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Odd.§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148A3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POLOŽKA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C7F51" w14:textId="77777777" w:rsidR="003A0DD1" w:rsidRPr="003A0DD1" w:rsidRDefault="003A0DD1" w:rsidP="00C705CB">
            <w:pPr>
              <w:jc w:val="center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TEXT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D01B1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 xml:space="preserve"> tis. Kč</w:t>
            </w:r>
          </w:p>
        </w:tc>
      </w:tr>
      <w:tr w:rsidR="003A0DD1" w:rsidRPr="003A0DD1" w14:paraId="0B1C3479" w14:textId="77777777" w:rsidTr="00C705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85306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5E9F2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3612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C9772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5171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AC28A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Opravy a udržování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5F59C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119</w:t>
            </w:r>
          </w:p>
        </w:tc>
      </w:tr>
      <w:tr w:rsidR="003A0DD1" w:rsidRPr="003A0DD1" w14:paraId="4F5FB985" w14:textId="77777777" w:rsidTr="00C705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5AE6B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11C01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6409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C4A1A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5901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384F7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Nespecifikované rezervy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0B015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-119</w:t>
            </w:r>
          </w:p>
        </w:tc>
      </w:tr>
      <w:tr w:rsidR="003A0DD1" w:rsidRPr="003A0DD1" w14:paraId="30A0C20A" w14:textId="77777777" w:rsidTr="00C705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CFD62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16FD1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8F41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35A6D" w14:textId="77777777" w:rsidR="003A0DD1" w:rsidRPr="003A0DD1" w:rsidRDefault="003A0DD1" w:rsidP="00C705CB">
            <w:pPr>
              <w:rPr>
                <w:rFonts w:cs="Calibri"/>
                <w:b/>
                <w:bCs/>
                <w:color w:val="000000"/>
                <w:sz w:val="22"/>
              </w:rPr>
            </w:pPr>
            <w:r w:rsidRPr="003A0DD1">
              <w:rPr>
                <w:rFonts w:cs="Calibri"/>
                <w:b/>
                <w:bCs/>
                <w:color w:val="000000"/>
                <w:sz w:val="22"/>
              </w:rPr>
              <w:t>Běžné výdaje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0C8B5" w14:textId="77777777" w:rsidR="003A0DD1" w:rsidRPr="003A0DD1" w:rsidRDefault="003A0DD1" w:rsidP="00C705CB">
            <w:pPr>
              <w:jc w:val="right"/>
              <w:rPr>
                <w:rFonts w:cs="Calibri"/>
                <w:b/>
                <w:bCs/>
                <w:color w:val="000000"/>
                <w:sz w:val="22"/>
              </w:rPr>
            </w:pPr>
            <w:r w:rsidRPr="003A0DD1">
              <w:rPr>
                <w:rFonts w:cs="Calibri"/>
                <w:b/>
                <w:bCs/>
                <w:color w:val="000000"/>
                <w:sz w:val="22"/>
              </w:rPr>
              <w:t>0</w:t>
            </w:r>
          </w:p>
        </w:tc>
      </w:tr>
    </w:tbl>
    <w:p w14:paraId="28C1BFE0" w14:textId="77777777" w:rsidR="003A0DD1" w:rsidRDefault="003A0DD1" w:rsidP="003A0DD1">
      <w:pPr>
        <w:jc w:val="both"/>
        <w:rPr>
          <w:rFonts w:cs="Arial"/>
          <w:szCs w:val="24"/>
        </w:rPr>
      </w:pPr>
    </w:p>
    <w:p w14:paraId="2BEACB5E" w14:textId="77777777" w:rsidR="003A0DD1" w:rsidRDefault="003A0DD1" w:rsidP="003A0DD1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b) změnu rozpisu rozpočtu č. 7</w:t>
      </w:r>
    </w:p>
    <w:p w14:paraId="6988AA91" w14:textId="77777777" w:rsidR="003A0DD1" w:rsidRDefault="003A0DD1" w:rsidP="003A0DD1">
      <w:pPr>
        <w:pStyle w:val="Odstavecseseznamem"/>
        <w:ind w:left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Název: Venkovní vybavení – stůl a lavička – lokalita Sezimovo Ústí II</w:t>
      </w:r>
    </w:p>
    <w:p w14:paraId="3B678611" w14:textId="77777777" w:rsidR="008F5889" w:rsidRDefault="008F5889" w:rsidP="003A0DD1">
      <w:pPr>
        <w:pStyle w:val="Odstavecseseznamem"/>
        <w:ind w:left="0"/>
        <w:rPr>
          <w:rFonts w:ascii="Calibri" w:hAnsi="Calibri" w:cs="Arial"/>
          <w:sz w:val="24"/>
          <w:szCs w:val="24"/>
        </w:rPr>
      </w:pPr>
    </w:p>
    <w:tbl>
      <w:tblPr>
        <w:tblW w:w="8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40"/>
        <w:gridCol w:w="983"/>
        <w:gridCol w:w="4640"/>
        <w:gridCol w:w="1680"/>
      </w:tblGrid>
      <w:tr w:rsidR="003A0DD1" w:rsidRPr="003A0DD1" w14:paraId="6A7C3911" w14:textId="77777777" w:rsidTr="00C705C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F52F8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ORJ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ED295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Odd.§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1537A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POLOŽKA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C55BF" w14:textId="77777777" w:rsidR="003A0DD1" w:rsidRPr="003A0DD1" w:rsidRDefault="003A0DD1" w:rsidP="00C705CB">
            <w:pPr>
              <w:jc w:val="center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TEXT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7CD8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 xml:space="preserve"> tis. Kč</w:t>
            </w:r>
          </w:p>
        </w:tc>
      </w:tr>
      <w:tr w:rsidR="003A0DD1" w:rsidRPr="003A0DD1" w14:paraId="5C584CCA" w14:textId="77777777" w:rsidTr="00C705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62FC5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3764E" w14:textId="77777777" w:rsidR="003A0DD1" w:rsidRPr="003A0DD1" w:rsidRDefault="003A0DD1" w:rsidP="00C705CB">
            <w:pPr>
              <w:ind w:right="-38"/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 xml:space="preserve">  3745 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E4ABB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5137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5AAD8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Drobný dlouhodobý hmotný majetek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8022D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33</w:t>
            </w:r>
          </w:p>
        </w:tc>
      </w:tr>
      <w:tr w:rsidR="003A0DD1" w:rsidRPr="003A0DD1" w14:paraId="485403D0" w14:textId="77777777" w:rsidTr="00C705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6D66C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CBC6F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6409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5C7F1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5901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42552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Nespecifikované rezervy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87A2D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-33</w:t>
            </w:r>
          </w:p>
        </w:tc>
      </w:tr>
      <w:tr w:rsidR="003A0DD1" w:rsidRPr="003A0DD1" w14:paraId="42F77BA1" w14:textId="77777777" w:rsidTr="00C705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318E1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E532C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973E1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F8815" w14:textId="77777777" w:rsidR="003A0DD1" w:rsidRPr="003A0DD1" w:rsidRDefault="003A0DD1" w:rsidP="00C705CB">
            <w:pPr>
              <w:rPr>
                <w:rFonts w:cs="Calibri"/>
                <w:b/>
                <w:bCs/>
                <w:color w:val="000000"/>
                <w:sz w:val="22"/>
              </w:rPr>
            </w:pPr>
            <w:r w:rsidRPr="003A0DD1">
              <w:rPr>
                <w:rFonts w:cs="Calibri"/>
                <w:b/>
                <w:bCs/>
                <w:color w:val="000000"/>
                <w:sz w:val="22"/>
              </w:rPr>
              <w:t>Běžné výdaje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46586" w14:textId="77777777" w:rsidR="003A0DD1" w:rsidRPr="003A0DD1" w:rsidRDefault="003A0DD1" w:rsidP="00C705CB">
            <w:pPr>
              <w:jc w:val="right"/>
              <w:rPr>
                <w:rFonts w:cs="Calibri"/>
                <w:b/>
                <w:bCs/>
                <w:color w:val="000000"/>
                <w:sz w:val="22"/>
              </w:rPr>
            </w:pPr>
            <w:r w:rsidRPr="003A0DD1">
              <w:rPr>
                <w:rFonts w:cs="Calibri"/>
                <w:b/>
                <w:bCs/>
                <w:color w:val="000000"/>
                <w:sz w:val="22"/>
              </w:rPr>
              <w:t>0</w:t>
            </w:r>
          </w:p>
        </w:tc>
      </w:tr>
    </w:tbl>
    <w:p w14:paraId="0280DBAD" w14:textId="77777777" w:rsidR="003A0DD1" w:rsidRDefault="003A0DD1" w:rsidP="003A0DD1">
      <w:pPr>
        <w:jc w:val="both"/>
        <w:rPr>
          <w:rFonts w:cs="Arial"/>
          <w:szCs w:val="24"/>
        </w:rPr>
      </w:pPr>
    </w:p>
    <w:p w14:paraId="24783013" w14:textId="77777777" w:rsidR="003A0DD1" w:rsidRDefault="003A0DD1" w:rsidP="003A0DD1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c) změnu rozpisu rozpočtu č. 8</w:t>
      </w:r>
    </w:p>
    <w:p w14:paraId="31D91389" w14:textId="77777777" w:rsidR="003A0DD1" w:rsidRDefault="003A0DD1" w:rsidP="003A0DD1">
      <w:pPr>
        <w:pStyle w:val="Odstavecseseznamem"/>
        <w:ind w:left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Název: Administrace výběrového řízení – svoz bioodpadu </w:t>
      </w:r>
    </w:p>
    <w:p w14:paraId="43CEFCD5" w14:textId="77777777" w:rsidR="008F5889" w:rsidRDefault="008F5889" w:rsidP="003A0DD1">
      <w:pPr>
        <w:pStyle w:val="Odstavecseseznamem"/>
        <w:ind w:left="0"/>
        <w:rPr>
          <w:rFonts w:ascii="Calibri" w:hAnsi="Calibri" w:cs="Arial"/>
          <w:sz w:val="24"/>
          <w:szCs w:val="24"/>
        </w:rPr>
      </w:pPr>
    </w:p>
    <w:tbl>
      <w:tblPr>
        <w:tblW w:w="8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40"/>
        <w:gridCol w:w="983"/>
        <w:gridCol w:w="4640"/>
        <w:gridCol w:w="1680"/>
      </w:tblGrid>
      <w:tr w:rsidR="003A0DD1" w:rsidRPr="003A0DD1" w14:paraId="5DDA2097" w14:textId="77777777" w:rsidTr="00C705C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59A8B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ORJ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6BCA9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Odd.§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0641A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POLOŽKA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D28F0" w14:textId="77777777" w:rsidR="003A0DD1" w:rsidRPr="003A0DD1" w:rsidRDefault="003A0DD1" w:rsidP="00C705CB">
            <w:pPr>
              <w:jc w:val="center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TEXT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863D2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 xml:space="preserve"> tis. Kč</w:t>
            </w:r>
          </w:p>
        </w:tc>
      </w:tr>
      <w:tr w:rsidR="003A0DD1" w:rsidRPr="003A0DD1" w14:paraId="60D9E8E8" w14:textId="77777777" w:rsidTr="00C705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12EA1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68DEF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3723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FF38D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5169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2703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Nákup ostatních služeb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8802C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26</w:t>
            </w:r>
          </w:p>
        </w:tc>
      </w:tr>
      <w:tr w:rsidR="003A0DD1" w:rsidRPr="003A0DD1" w14:paraId="4590C378" w14:textId="77777777" w:rsidTr="00C705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8ECB7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DF98E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6409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B8498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5901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A840D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Nespecifikované rezervy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8AF7A" w14:textId="77777777" w:rsidR="003A0DD1" w:rsidRPr="003A0DD1" w:rsidRDefault="003A0DD1" w:rsidP="00C705CB">
            <w:pPr>
              <w:jc w:val="right"/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-26</w:t>
            </w:r>
          </w:p>
        </w:tc>
      </w:tr>
      <w:tr w:rsidR="003A0DD1" w:rsidRPr="003A0DD1" w14:paraId="28F4267E" w14:textId="77777777" w:rsidTr="00C705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7BEDD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21030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3A420" w14:textId="77777777" w:rsidR="003A0DD1" w:rsidRPr="003A0DD1" w:rsidRDefault="003A0DD1" w:rsidP="00C705CB">
            <w:pPr>
              <w:rPr>
                <w:rFonts w:cs="Calibri"/>
                <w:color w:val="000000"/>
                <w:sz w:val="22"/>
              </w:rPr>
            </w:pPr>
            <w:r w:rsidRPr="003A0DD1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C63A7" w14:textId="77777777" w:rsidR="003A0DD1" w:rsidRPr="003A0DD1" w:rsidRDefault="003A0DD1" w:rsidP="00C705CB">
            <w:pPr>
              <w:rPr>
                <w:rFonts w:cs="Calibri"/>
                <w:b/>
                <w:bCs/>
                <w:color w:val="000000"/>
                <w:sz w:val="22"/>
              </w:rPr>
            </w:pPr>
            <w:r w:rsidRPr="003A0DD1">
              <w:rPr>
                <w:rFonts w:cs="Calibri"/>
                <w:b/>
                <w:bCs/>
                <w:color w:val="000000"/>
                <w:sz w:val="22"/>
              </w:rPr>
              <w:t>Běžné výdaje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7B33F" w14:textId="77777777" w:rsidR="003A0DD1" w:rsidRPr="003A0DD1" w:rsidRDefault="003A0DD1" w:rsidP="00C705CB">
            <w:pPr>
              <w:jc w:val="right"/>
              <w:rPr>
                <w:rFonts w:cs="Calibri"/>
                <w:b/>
                <w:bCs/>
                <w:color w:val="000000"/>
                <w:sz w:val="22"/>
              </w:rPr>
            </w:pPr>
            <w:r w:rsidRPr="003A0DD1">
              <w:rPr>
                <w:rFonts w:cs="Calibri"/>
                <w:b/>
                <w:bCs/>
                <w:color w:val="000000"/>
                <w:sz w:val="22"/>
              </w:rPr>
              <w:t>0</w:t>
            </w:r>
          </w:p>
        </w:tc>
      </w:tr>
    </w:tbl>
    <w:p w14:paraId="686413DA" w14:textId="12A1967D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b/>
          <w:bCs/>
          <w:szCs w:val="24"/>
        </w:rPr>
        <w:t xml:space="preserve">  </w:t>
      </w: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071C1795" w14:textId="77777777" w:rsid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0F05076E" w14:textId="77777777" w:rsidR="003B0096" w:rsidRPr="00DA6E35" w:rsidRDefault="003B0096" w:rsidP="00DA6E35">
      <w:pPr>
        <w:widowControl w:val="0"/>
        <w:jc w:val="both"/>
        <w:rPr>
          <w:rFonts w:cs="Calibri"/>
          <w:b/>
          <w:snapToGrid w:val="0"/>
          <w:szCs w:val="24"/>
        </w:rPr>
      </w:pPr>
    </w:p>
    <w:p w14:paraId="667DDADF" w14:textId="2CA3FB6A" w:rsidR="00DA6E35" w:rsidRPr="00DA6E35" w:rsidRDefault="00DA6E35" w:rsidP="00DA6E35">
      <w:pPr>
        <w:widowControl w:val="0"/>
        <w:jc w:val="both"/>
        <w:rPr>
          <w:rFonts w:cs="Calibri"/>
          <w:b/>
          <w:snapToGrid w:val="0"/>
          <w:szCs w:val="24"/>
        </w:rPr>
      </w:pPr>
      <w:r w:rsidRPr="00DA6E35">
        <w:rPr>
          <w:rFonts w:cs="Calibri"/>
          <w:b/>
          <w:snapToGrid w:val="0"/>
          <w:szCs w:val="24"/>
        </w:rPr>
        <w:lastRenderedPageBreak/>
        <w:t>Základní informace o hospodaření města Sezimovo Ústí za období leden–červen r. 2024 (mat. č. 274/2024)</w:t>
      </w:r>
    </w:p>
    <w:p w14:paraId="433FB7CF" w14:textId="69CC772F" w:rsidR="00DA6E35" w:rsidRPr="00876DA8" w:rsidRDefault="00DA6E35" w:rsidP="00DA6E35">
      <w:pPr>
        <w:widowControl w:val="0"/>
        <w:contextualSpacing/>
        <w:jc w:val="both"/>
        <w:rPr>
          <w:rFonts w:cs="Calibri"/>
          <w:b/>
          <w:szCs w:val="24"/>
          <w:u w:val="single"/>
        </w:rPr>
      </w:pPr>
      <w:r w:rsidRPr="00876DA8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278</w:t>
      </w:r>
      <w:r w:rsidRPr="00876DA8">
        <w:rPr>
          <w:rFonts w:cs="Calibri"/>
          <w:b/>
          <w:szCs w:val="24"/>
          <w:u w:val="single"/>
        </w:rPr>
        <w:t>/2024</w:t>
      </w:r>
    </w:p>
    <w:p w14:paraId="7E7B6A25" w14:textId="77777777" w:rsidR="00DA6E35" w:rsidRDefault="00DA6E35" w:rsidP="00DA6E35">
      <w:pPr>
        <w:widowControl w:val="0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76DA8">
        <w:rPr>
          <w:szCs w:val="24"/>
        </w:rPr>
        <w:t>RM po projednání</w:t>
      </w:r>
      <w:r w:rsidRPr="00876DA8">
        <w:rPr>
          <w:rFonts w:asciiTheme="minorHAnsi" w:hAnsiTheme="minorHAnsi" w:cstheme="minorHAnsi"/>
          <w:b/>
          <w:bCs/>
          <w:szCs w:val="24"/>
        </w:rPr>
        <w:t xml:space="preserve">   </w:t>
      </w:r>
    </w:p>
    <w:p w14:paraId="3914A376" w14:textId="5A93D06D" w:rsidR="003A0DD1" w:rsidRPr="00E60963" w:rsidRDefault="003A0DD1" w:rsidP="003A0DD1">
      <w:pPr>
        <w:pStyle w:val="Nzev"/>
        <w:ind w:right="-2551"/>
        <w:jc w:val="both"/>
        <w:rPr>
          <w:rFonts w:ascii="Calibri" w:hAnsi="Calibri" w:cs="Arial"/>
          <w:b/>
          <w:color w:val="auto"/>
          <w:sz w:val="24"/>
          <w:szCs w:val="24"/>
        </w:rPr>
      </w:pPr>
      <w:r>
        <w:rPr>
          <w:rFonts w:ascii="Calibri" w:hAnsi="Calibri" w:cs="Arial"/>
          <w:b/>
          <w:color w:val="auto"/>
          <w:sz w:val="24"/>
          <w:szCs w:val="24"/>
        </w:rPr>
        <w:t>I. Předkládá</w:t>
      </w:r>
    </w:p>
    <w:p w14:paraId="67CFB13E" w14:textId="58EF3369" w:rsidR="003A0DD1" w:rsidRPr="00E60963" w:rsidRDefault="003A0DD1" w:rsidP="003A0DD1">
      <w:pPr>
        <w:pStyle w:val="Nzev"/>
        <w:ind w:right="-2551"/>
        <w:jc w:val="both"/>
        <w:rPr>
          <w:rFonts w:ascii="Calibri" w:hAnsi="Calibri" w:cs="Calibri"/>
          <w:b/>
          <w:i/>
          <w:szCs w:val="24"/>
          <w:u w:val="single"/>
        </w:rPr>
      </w:pPr>
      <w:r>
        <w:rPr>
          <w:rFonts w:ascii="Calibri" w:hAnsi="Calibri" w:cs="Arial"/>
          <w:color w:val="auto"/>
          <w:sz w:val="24"/>
          <w:szCs w:val="24"/>
        </w:rPr>
        <w:t xml:space="preserve">ZM na vědomí </w:t>
      </w:r>
      <w:r w:rsidRPr="00E60963">
        <w:rPr>
          <w:rFonts w:ascii="Calibri" w:hAnsi="Calibri" w:cs="Arial"/>
          <w:color w:val="auto"/>
          <w:sz w:val="24"/>
          <w:szCs w:val="24"/>
        </w:rPr>
        <w:t>základní informace o hospodaření města Sezimovo Ústí za</w:t>
      </w:r>
      <w:r>
        <w:rPr>
          <w:rFonts w:ascii="Calibri" w:hAnsi="Calibri" w:cs="Arial"/>
          <w:color w:val="auto"/>
          <w:sz w:val="24"/>
          <w:szCs w:val="24"/>
        </w:rPr>
        <w:t xml:space="preserve"> 1. pololetí r. 2024.</w:t>
      </w:r>
    </w:p>
    <w:p w14:paraId="5FA4077F" w14:textId="77777777" w:rsidR="00DA6E35" w:rsidRDefault="00DA6E35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76DA8">
        <w:rPr>
          <w:rFonts w:asciiTheme="minorHAnsi" w:hAnsiTheme="minorHAnsi" w:cstheme="minorHAnsi"/>
          <w:szCs w:val="24"/>
        </w:rPr>
        <w:t xml:space="preserve">Hlasování </w:t>
      </w:r>
      <w:proofErr w:type="gramStart"/>
      <w:r>
        <w:rPr>
          <w:rFonts w:asciiTheme="minorHAnsi" w:hAnsiTheme="minorHAnsi" w:cstheme="minorHAnsi"/>
          <w:szCs w:val="24"/>
        </w:rPr>
        <w:t>5</w:t>
      </w:r>
      <w:r w:rsidRPr="00876DA8">
        <w:rPr>
          <w:rFonts w:asciiTheme="minorHAnsi" w:hAnsiTheme="minorHAnsi" w:cstheme="minorHAnsi"/>
          <w:szCs w:val="24"/>
        </w:rPr>
        <w:t>A</w:t>
      </w:r>
      <w:proofErr w:type="gramEnd"/>
      <w:r w:rsidRPr="00876DA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N/</w:t>
      </w:r>
      <w:r>
        <w:rPr>
          <w:rFonts w:asciiTheme="minorHAnsi" w:hAnsiTheme="minorHAnsi" w:cstheme="minorHAnsi"/>
          <w:szCs w:val="24"/>
        </w:rPr>
        <w:t>0</w:t>
      </w:r>
      <w:r w:rsidRPr="00876DA8">
        <w:rPr>
          <w:rFonts w:asciiTheme="minorHAnsi" w:hAnsiTheme="minorHAnsi" w:cstheme="minorHAnsi"/>
          <w:szCs w:val="24"/>
        </w:rPr>
        <w:t>Z</w:t>
      </w:r>
    </w:p>
    <w:p w14:paraId="60098BE4" w14:textId="77777777" w:rsidR="003A0DD1" w:rsidRDefault="003A0DD1" w:rsidP="00DA6E35">
      <w:pPr>
        <w:widowControl w:val="0"/>
        <w:jc w:val="both"/>
        <w:rPr>
          <w:rFonts w:asciiTheme="minorHAnsi" w:hAnsiTheme="minorHAnsi" w:cstheme="minorHAnsi"/>
          <w:szCs w:val="24"/>
        </w:rPr>
      </w:pPr>
    </w:p>
    <w:p w14:paraId="3598F223" w14:textId="77777777" w:rsidR="008F5889" w:rsidRDefault="008F5889" w:rsidP="00CA0740">
      <w:pPr>
        <w:widowControl w:val="0"/>
        <w:contextualSpacing/>
        <w:jc w:val="both"/>
        <w:rPr>
          <w:rFonts w:cs="Calibri"/>
          <w:szCs w:val="24"/>
        </w:rPr>
      </w:pPr>
    </w:p>
    <w:p w14:paraId="6B7348D1" w14:textId="77777777" w:rsidR="008F5889" w:rsidRDefault="008F5889" w:rsidP="00CA0740">
      <w:pPr>
        <w:widowControl w:val="0"/>
        <w:contextualSpacing/>
        <w:jc w:val="both"/>
        <w:rPr>
          <w:rFonts w:cs="Calibri"/>
          <w:szCs w:val="24"/>
        </w:rPr>
      </w:pPr>
    </w:p>
    <w:p w14:paraId="21EA785E" w14:textId="77777777" w:rsidR="008F5889" w:rsidRDefault="008F5889" w:rsidP="00CA0740">
      <w:pPr>
        <w:widowControl w:val="0"/>
        <w:contextualSpacing/>
        <w:jc w:val="both"/>
        <w:rPr>
          <w:rFonts w:cs="Calibri"/>
          <w:szCs w:val="24"/>
        </w:rPr>
      </w:pPr>
    </w:p>
    <w:p w14:paraId="2ED07934" w14:textId="5BA6E98C" w:rsidR="009D7D63" w:rsidRDefault="009D7D63" w:rsidP="00CA0740">
      <w:pPr>
        <w:widowControl w:val="0"/>
        <w:contextualSpacing/>
        <w:jc w:val="both"/>
        <w:rPr>
          <w:rFonts w:cs="Calibri"/>
          <w:szCs w:val="24"/>
        </w:rPr>
      </w:pPr>
      <w:bookmarkStart w:id="1" w:name="_Hlk159401587"/>
      <w:r>
        <w:rPr>
          <w:rFonts w:cs="Calibri"/>
          <w:szCs w:val="24"/>
        </w:rPr>
        <w:t>Mgr. Ing. Martin Doležal, LL.M.</w:t>
      </w:r>
      <w:r w:rsidR="00F32AAD">
        <w:rPr>
          <w:rFonts w:cs="Calibri"/>
          <w:szCs w:val="24"/>
        </w:rPr>
        <w:t xml:space="preserve"> </w:t>
      </w:r>
      <w:r w:rsidR="00A110C9">
        <w:rPr>
          <w:rFonts w:cs="Calibri"/>
          <w:szCs w:val="24"/>
        </w:rPr>
        <w:t>v. r.</w:t>
      </w:r>
      <w:r w:rsidR="00953C5D"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="00C82849">
        <w:rPr>
          <w:rFonts w:cs="Calibri"/>
          <w:szCs w:val="24"/>
        </w:rPr>
        <w:t>Mgr. Hana Hemerková</w:t>
      </w:r>
      <w:r w:rsidR="00A110C9">
        <w:rPr>
          <w:rFonts w:cs="Calibri"/>
          <w:szCs w:val="24"/>
        </w:rPr>
        <w:t xml:space="preserve"> v. r.</w:t>
      </w:r>
      <w:r w:rsidR="00E03895">
        <w:rPr>
          <w:rFonts w:cs="Calibri"/>
          <w:szCs w:val="24"/>
        </w:rPr>
        <w:tab/>
      </w:r>
    </w:p>
    <w:p w14:paraId="25DA4EAC" w14:textId="2313D9A1" w:rsidR="00D12567" w:rsidRDefault="009D7D63" w:rsidP="00CA0740">
      <w:pPr>
        <w:widowControl w:val="0"/>
        <w:contextualSpacing/>
        <w:jc w:val="both"/>
      </w:pPr>
      <w:r>
        <w:rPr>
          <w:rFonts w:cs="Calibri"/>
          <w:szCs w:val="24"/>
        </w:rPr>
        <w:t>starosta města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="00D12567" w:rsidRPr="003D7B04">
        <w:rPr>
          <w:rFonts w:cs="Calibri"/>
          <w:szCs w:val="24"/>
        </w:rPr>
        <w:t>místostarost</w:t>
      </w:r>
      <w:r w:rsidR="00C82849">
        <w:rPr>
          <w:rFonts w:cs="Calibri"/>
          <w:szCs w:val="24"/>
        </w:rPr>
        <w:t>k</w:t>
      </w:r>
      <w:r w:rsidR="00D12567" w:rsidRPr="003D7B04">
        <w:rPr>
          <w:rFonts w:cs="Calibri"/>
          <w:szCs w:val="24"/>
        </w:rPr>
        <w:t>a města</w:t>
      </w:r>
      <w:r w:rsidR="00D12567" w:rsidRPr="003D7B04">
        <w:rPr>
          <w:rFonts w:cs="Calibri"/>
          <w:szCs w:val="24"/>
        </w:rPr>
        <w:tab/>
      </w:r>
      <w:r w:rsidR="00D12567" w:rsidRPr="003D7B04">
        <w:rPr>
          <w:rFonts w:cs="Calibri"/>
          <w:szCs w:val="24"/>
        </w:rPr>
        <w:tab/>
      </w:r>
      <w:bookmarkEnd w:id="1"/>
    </w:p>
    <w:sectPr w:rsidR="00D12567">
      <w:footerReference w:type="default" r:id="rId8"/>
      <w:pgSz w:w="11906" w:h="16838"/>
      <w:pgMar w:top="1304" w:right="851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CBD61" w14:textId="77777777" w:rsidR="00E65964" w:rsidRDefault="00E65964">
      <w:r>
        <w:separator/>
      </w:r>
    </w:p>
  </w:endnote>
  <w:endnote w:type="continuationSeparator" w:id="0">
    <w:p w14:paraId="0A3E8153" w14:textId="77777777" w:rsidR="00E65964" w:rsidRDefault="00E6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9403" w14:textId="77777777" w:rsidR="00E65964" w:rsidRDefault="00D12567">
    <w:pPr>
      <w:pStyle w:val="Zpat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  <w:p w14:paraId="5EB70098" w14:textId="77777777" w:rsidR="00E65964" w:rsidRDefault="00E65964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867D9" w14:textId="77777777" w:rsidR="00E65964" w:rsidRDefault="00E65964">
      <w:r>
        <w:separator/>
      </w:r>
    </w:p>
  </w:footnote>
  <w:footnote w:type="continuationSeparator" w:id="0">
    <w:p w14:paraId="6F1BC235" w14:textId="77777777" w:rsidR="00E65964" w:rsidRDefault="00E6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abstractNum w:abstractNumId="2" w15:restartNumberingAfterBreak="0">
    <w:nsid w:val="024C547E"/>
    <w:multiLevelType w:val="hybridMultilevel"/>
    <w:tmpl w:val="2CDEC142"/>
    <w:lvl w:ilvl="0" w:tplc="CCA0B4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678B"/>
    <w:multiLevelType w:val="hybridMultilevel"/>
    <w:tmpl w:val="0944D7C2"/>
    <w:lvl w:ilvl="0" w:tplc="330239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5E5D"/>
    <w:multiLevelType w:val="hybridMultilevel"/>
    <w:tmpl w:val="8EB65C16"/>
    <w:lvl w:ilvl="0" w:tplc="48EA8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A7DF1"/>
    <w:multiLevelType w:val="hybridMultilevel"/>
    <w:tmpl w:val="EC8A0F84"/>
    <w:lvl w:ilvl="0" w:tplc="34F067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AB2228"/>
    <w:multiLevelType w:val="hybridMultilevel"/>
    <w:tmpl w:val="3AAE95D4"/>
    <w:lvl w:ilvl="0" w:tplc="B8F89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52BE5"/>
    <w:multiLevelType w:val="hybridMultilevel"/>
    <w:tmpl w:val="D74C0428"/>
    <w:lvl w:ilvl="0" w:tplc="46DA7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37A78"/>
    <w:multiLevelType w:val="hybridMultilevel"/>
    <w:tmpl w:val="EB581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7081E"/>
    <w:multiLevelType w:val="hybridMultilevel"/>
    <w:tmpl w:val="B9520E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81023"/>
    <w:multiLevelType w:val="hybridMultilevel"/>
    <w:tmpl w:val="644057C0"/>
    <w:lvl w:ilvl="0" w:tplc="606A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7F03"/>
    <w:multiLevelType w:val="hybridMultilevel"/>
    <w:tmpl w:val="1D6ADFC8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Calibri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60B66"/>
    <w:multiLevelType w:val="hybridMultilevel"/>
    <w:tmpl w:val="B4CC98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5121"/>
    <w:multiLevelType w:val="hybridMultilevel"/>
    <w:tmpl w:val="2ADA715C"/>
    <w:lvl w:ilvl="0" w:tplc="AF501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B4941"/>
    <w:multiLevelType w:val="hybridMultilevel"/>
    <w:tmpl w:val="5A96A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4CB"/>
    <w:multiLevelType w:val="hybridMultilevel"/>
    <w:tmpl w:val="61F69D68"/>
    <w:lvl w:ilvl="0" w:tplc="69CADE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E050D"/>
    <w:multiLevelType w:val="hybridMultilevel"/>
    <w:tmpl w:val="2D1860F2"/>
    <w:lvl w:ilvl="0" w:tplc="7018D1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24627"/>
    <w:multiLevelType w:val="hybridMultilevel"/>
    <w:tmpl w:val="D27A2E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96F79"/>
    <w:multiLevelType w:val="hybridMultilevel"/>
    <w:tmpl w:val="67BE82C2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31F67819"/>
    <w:multiLevelType w:val="hybridMultilevel"/>
    <w:tmpl w:val="9B86F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10C69"/>
    <w:multiLevelType w:val="hybridMultilevel"/>
    <w:tmpl w:val="F7F872CA"/>
    <w:lvl w:ilvl="0" w:tplc="5E961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765A2"/>
    <w:multiLevelType w:val="hybridMultilevel"/>
    <w:tmpl w:val="3BC8DB94"/>
    <w:lvl w:ilvl="0" w:tplc="6DDE4D2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320B8"/>
    <w:multiLevelType w:val="hybridMultilevel"/>
    <w:tmpl w:val="F60EFB3A"/>
    <w:lvl w:ilvl="0" w:tplc="59023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C6A7C"/>
    <w:multiLevelType w:val="hybridMultilevel"/>
    <w:tmpl w:val="1EF87B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8611C"/>
    <w:multiLevelType w:val="hybridMultilevel"/>
    <w:tmpl w:val="A8FA1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42DA9"/>
    <w:multiLevelType w:val="hybridMultilevel"/>
    <w:tmpl w:val="C4B2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62A2A"/>
    <w:multiLevelType w:val="hybridMultilevel"/>
    <w:tmpl w:val="4BC885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66F25"/>
    <w:multiLevelType w:val="hybridMultilevel"/>
    <w:tmpl w:val="1F2C58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812B4"/>
    <w:multiLevelType w:val="hybridMultilevel"/>
    <w:tmpl w:val="6F86E596"/>
    <w:lvl w:ilvl="0" w:tplc="A5B0F1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307A4"/>
    <w:multiLevelType w:val="hybridMultilevel"/>
    <w:tmpl w:val="A7C23C5E"/>
    <w:lvl w:ilvl="0" w:tplc="6DACD4A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21BF3"/>
    <w:multiLevelType w:val="hybridMultilevel"/>
    <w:tmpl w:val="3C62F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0684D"/>
    <w:multiLevelType w:val="hybridMultilevel"/>
    <w:tmpl w:val="A9A23E6C"/>
    <w:lvl w:ilvl="0" w:tplc="0CDCAEB2">
      <w:start w:val="2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1020E"/>
    <w:multiLevelType w:val="hybridMultilevel"/>
    <w:tmpl w:val="104ED858"/>
    <w:lvl w:ilvl="0" w:tplc="7F263C0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15885"/>
    <w:multiLevelType w:val="hybridMultilevel"/>
    <w:tmpl w:val="E49E0916"/>
    <w:lvl w:ilvl="0" w:tplc="4F1097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D1A90"/>
    <w:multiLevelType w:val="hybridMultilevel"/>
    <w:tmpl w:val="99AE4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23B40"/>
    <w:multiLevelType w:val="hybridMultilevel"/>
    <w:tmpl w:val="F7C87B5C"/>
    <w:lvl w:ilvl="0" w:tplc="55CCEE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35B9E"/>
    <w:multiLevelType w:val="hybridMultilevel"/>
    <w:tmpl w:val="1756B0FC"/>
    <w:lvl w:ilvl="0" w:tplc="87B25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B2153"/>
    <w:multiLevelType w:val="hybridMultilevel"/>
    <w:tmpl w:val="0A0C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E5732"/>
    <w:multiLevelType w:val="hybridMultilevel"/>
    <w:tmpl w:val="766696FE"/>
    <w:lvl w:ilvl="0" w:tplc="A80445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97E81"/>
    <w:multiLevelType w:val="hybridMultilevel"/>
    <w:tmpl w:val="2AE4DA0C"/>
    <w:lvl w:ilvl="0" w:tplc="4E56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31BCD"/>
    <w:multiLevelType w:val="hybridMultilevel"/>
    <w:tmpl w:val="588C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90E18"/>
    <w:multiLevelType w:val="hybridMultilevel"/>
    <w:tmpl w:val="53D0E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7389D"/>
    <w:multiLevelType w:val="hybridMultilevel"/>
    <w:tmpl w:val="0D68C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50038"/>
    <w:multiLevelType w:val="hybridMultilevel"/>
    <w:tmpl w:val="615A2686"/>
    <w:lvl w:ilvl="0" w:tplc="B9A0C5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B45EA9"/>
    <w:multiLevelType w:val="hybridMultilevel"/>
    <w:tmpl w:val="66BCB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36019">
    <w:abstractNumId w:val="0"/>
  </w:num>
  <w:num w:numId="2" w16cid:durableId="1299073606">
    <w:abstractNumId w:val="1"/>
  </w:num>
  <w:num w:numId="3" w16cid:durableId="13027363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489513">
    <w:abstractNumId w:val="21"/>
  </w:num>
  <w:num w:numId="5" w16cid:durableId="700592238">
    <w:abstractNumId w:val="32"/>
  </w:num>
  <w:num w:numId="6" w16cid:durableId="821390463">
    <w:abstractNumId w:val="28"/>
  </w:num>
  <w:num w:numId="7" w16cid:durableId="1736397533">
    <w:abstractNumId w:val="39"/>
  </w:num>
  <w:num w:numId="8" w16cid:durableId="109014148">
    <w:abstractNumId w:val="40"/>
  </w:num>
  <w:num w:numId="9" w16cid:durableId="39941673">
    <w:abstractNumId w:val="34"/>
  </w:num>
  <w:num w:numId="10" w16cid:durableId="394276919">
    <w:abstractNumId w:val="8"/>
  </w:num>
  <w:num w:numId="11" w16cid:durableId="395205823">
    <w:abstractNumId w:val="17"/>
  </w:num>
  <w:num w:numId="12" w16cid:durableId="1336348092">
    <w:abstractNumId w:val="11"/>
  </w:num>
  <w:num w:numId="13" w16cid:durableId="1191451220">
    <w:abstractNumId w:val="1"/>
    <w:lvlOverride w:ilvl="0">
      <w:startOverride w:val="1"/>
    </w:lvlOverride>
  </w:num>
  <w:num w:numId="14" w16cid:durableId="17900784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8830081">
    <w:abstractNumId w:val="35"/>
  </w:num>
  <w:num w:numId="16" w16cid:durableId="1680499765">
    <w:abstractNumId w:val="23"/>
  </w:num>
  <w:num w:numId="17" w16cid:durableId="1140462424">
    <w:abstractNumId w:val="6"/>
  </w:num>
  <w:num w:numId="18" w16cid:durableId="959727542">
    <w:abstractNumId w:val="9"/>
  </w:num>
  <w:num w:numId="19" w16cid:durableId="1310207854">
    <w:abstractNumId w:val="43"/>
  </w:num>
  <w:num w:numId="20" w16cid:durableId="1009482742">
    <w:abstractNumId w:val="16"/>
  </w:num>
  <w:num w:numId="21" w16cid:durableId="512841766">
    <w:abstractNumId w:val="7"/>
  </w:num>
  <w:num w:numId="22" w16cid:durableId="2101444387">
    <w:abstractNumId w:val="33"/>
  </w:num>
  <w:num w:numId="23" w16cid:durableId="1597669051">
    <w:abstractNumId w:val="10"/>
  </w:num>
  <w:num w:numId="24" w16cid:durableId="489442019">
    <w:abstractNumId w:val="30"/>
  </w:num>
  <w:num w:numId="25" w16cid:durableId="1346445468">
    <w:abstractNumId w:val="4"/>
  </w:num>
  <w:num w:numId="26" w16cid:durableId="1735203636">
    <w:abstractNumId w:val="13"/>
  </w:num>
  <w:num w:numId="27" w16cid:durableId="1296957564">
    <w:abstractNumId w:val="12"/>
  </w:num>
  <w:num w:numId="28" w16cid:durableId="1729648474">
    <w:abstractNumId w:val="27"/>
  </w:num>
  <w:num w:numId="29" w16cid:durableId="320431624">
    <w:abstractNumId w:val="15"/>
  </w:num>
  <w:num w:numId="30" w16cid:durableId="221405652">
    <w:abstractNumId w:val="26"/>
  </w:num>
  <w:num w:numId="31" w16cid:durableId="843283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8990333">
    <w:abstractNumId w:val="37"/>
  </w:num>
  <w:num w:numId="33" w16cid:durableId="1831552932">
    <w:abstractNumId w:val="18"/>
  </w:num>
  <w:num w:numId="34" w16cid:durableId="752314676">
    <w:abstractNumId w:val="5"/>
  </w:num>
  <w:num w:numId="35" w16cid:durableId="1136294138">
    <w:abstractNumId w:val="38"/>
  </w:num>
  <w:num w:numId="36" w16cid:durableId="758913826">
    <w:abstractNumId w:val="41"/>
  </w:num>
  <w:num w:numId="37" w16cid:durableId="1292397093">
    <w:abstractNumId w:val="24"/>
  </w:num>
  <w:num w:numId="38" w16cid:durableId="940265263">
    <w:abstractNumId w:val="42"/>
  </w:num>
  <w:num w:numId="39" w16cid:durableId="179315755">
    <w:abstractNumId w:val="22"/>
  </w:num>
  <w:num w:numId="40" w16cid:durableId="848716004">
    <w:abstractNumId w:val="36"/>
  </w:num>
  <w:num w:numId="41" w16cid:durableId="1939219218">
    <w:abstractNumId w:val="20"/>
  </w:num>
  <w:num w:numId="42" w16cid:durableId="533734402">
    <w:abstractNumId w:val="3"/>
  </w:num>
  <w:num w:numId="43" w16cid:durableId="1864317625">
    <w:abstractNumId w:val="31"/>
  </w:num>
  <w:num w:numId="44" w16cid:durableId="1175654888">
    <w:abstractNumId w:val="14"/>
  </w:num>
  <w:num w:numId="45" w16cid:durableId="1553615393">
    <w:abstractNumId w:val="44"/>
  </w:num>
  <w:num w:numId="46" w16cid:durableId="215819469">
    <w:abstractNumId w:val="19"/>
  </w:num>
  <w:num w:numId="47" w16cid:durableId="1119572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67"/>
    <w:rsid w:val="00001C2A"/>
    <w:rsid w:val="00011600"/>
    <w:rsid w:val="000123B3"/>
    <w:rsid w:val="000158B3"/>
    <w:rsid w:val="000174E9"/>
    <w:rsid w:val="00031E21"/>
    <w:rsid w:val="000320BF"/>
    <w:rsid w:val="000346E1"/>
    <w:rsid w:val="00035B26"/>
    <w:rsid w:val="00043792"/>
    <w:rsid w:val="0004462A"/>
    <w:rsid w:val="00074028"/>
    <w:rsid w:val="00094611"/>
    <w:rsid w:val="000B6722"/>
    <w:rsid w:val="000D596F"/>
    <w:rsid w:val="000D7CC6"/>
    <w:rsid w:val="000E1C7F"/>
    <w:rsid w:val="000E2A03"/>
    <w:rsid w:val="000F1CD7"/>
    <w:rsid w:val="000F4D5E"/>
    <w:rsid w:val="000F5DAA"/>
    <w:rsid w:val="000F5EBE"/>
    <w:rsid w:val="001044D6"/>
    <w:rsid w:val="00113591"/>
    <w:rsid w:val="00122359"/>
    <w:rsid w:val="001278AC"/>
    <w:rsid w:val="00151588"/>
    <w:rsid w:val="001733F0"/>
    <w:rsid w:val="0017407B"/>
    <w:rsid w:val="00181FB5"/>
    <w:rsid w:val="00184072"/>
    <w:rsid w:val="00192CD0"/>
    <w:rsid w:val="001A6C3A"/>
    <w:rsid w:val="001B435A"/>
    <w:rsid w:val="001B7CF7"/>
    <w:rsid w:val="001C04B4"/>
    <w:rsid w:val="001C1A82"/>
    <w:rsid w:val="001C54C9"/>
    <w:rsid w:val="001D33B2"/>
    <w:rsid w:val="001D44EB"/>
    <w:rsid w:val="001E0932"/>
    <w:rsid w:val="001E6333"/>
    <w:rsid w:val="00200890"/>
    <w:rsid w:val="002026E6"/>
    <w:rsid w:val="00204167"/>
    <w:rsid w:val="00212537"/>
    <w:rsid w:val="002132BC"/>
    <w:rsid w:val="00216C3E"/>
    <w:rsid w:val="00221933"/>
    <w:rsid w:val="00223ED2"/>
    <w:rsid w:val="00225219"/>
    <w:rsid w:val="00230FD2"/>
    <w:rsid w:val="00234162"/>
    <w:rsid w:val="002343A1"/>
    <w:rsid w:val="00234AEF"/>
    <w:rsid w:val="00246D06"/>
    <w:rsid w:val="00253B48"/>
    <w:rsid w:val="00257CAA"/>
    <w:rsid w:val="00263181"/>
    <w:rsid w:val="00263837"/>
    <w:rsid w:val="0026444F"/>
    <w:rsid w:val="002651A3"/>
    <w:rsid w:val="00274754"/>
    <w:rsid w:val="002767C6"/>
    <w:rsid w:val="0028004C"/>
    <w:rsid w:val="002801DE"/>
    <w:rsid w:val="00281F85"/>
    <w:rsid w:val="002844DD"/>
    <w:rsid w:val="00286B75"/>
    <w:rsid w:val="00287AFC"/>
    <w:rsid w:val="00290816"/>
    <w:rsid w:val="002947F6"/>
    <w:rsid w:val="002976CC"/>
    <w:rsid w:val="002A3D7B"/>
    <w:rsid w:val="002B1CF5"/>
    <w:rsid w:val="002B2393"/>
    <w:rsid w:val="002C051F"/>
    <w:rsid w:val="002C2C32"/>
    <w:rsid w:val="002C6510"/>
    <w:rsid w:val="002E1B1B"/>
    <w:rsid w:val="002F2619"/>
    <w:rsid w:val="00301240"/>
    <w:rsid w:val="00306D10"/>
    <w:rsid w:val="0031749E"/>
    <w:rsid w:val="003225DE"/>
    <w:rsid w:val="00323D37"/>
    <w:rsid w:val="00324FE2"/>
    <w:rsid w:val="00331BDF"/>
    <w:rsid w:val="00332937"/>
    <w:rsid w:val="00344BCA"/>
    <w:rsid w:val="00346FEB"/>
    <w:rsid w:val="003647EF"/>
    <w:rsid w:val="003651ED"/>
    <w:rsid w:val="0038044E"/>
    <w:rsid w:val="00390587"/>
    <w:rsid w:val="003905C7"/>
    <w:rsid w:val="00394A3F"/>
    <w:rsid w:val="00394D50"/>
    <w:rsid w:val="00395E01"/>
    <w:rsid w:val="003A0DD1"/>
    <w:rsid w:val="003A141A"/>
    <w:rsid w:val="003B0096"/>
    <w:rsid w:val="003B45FF"/>
    <w:rsid w:val="003B7F68"/>
    <w:rsid w:val="003C5EE6"/>
    <w:rsid w:val="003D4FC6"/>
    <w:rsid w:val="003E6C19"/>
    <w:rsid w:val="00406FDC"/>
    <w:rsid w:val="00410B31"/>
    <w:rsid w:val="00414DD6"/>
    <w:rsid w:val="0045011E"/>
    <w:rsid w:val="00467300"/>
    <w:rsid w:val="00470EF7"/>
    <w:rsid w:val="00474E2A"/>
    <w:rsid w:val="0047642D"/>
    <w:rsid w:val="004A2567"/>
    <w:rsid w:val="004A3531"/>
    <w:rsid w:val="004A3703"/>
    <w:rsid w:val="004A4F49"/>
    <w:rsid w:val="004B04CE"/>
    <w:rsid w:val="004B2631"/>
    <w:rsid w:val="004C0375"/>
    <w:rsid w:val="004D69D9"/>
    <w:rsid w:val="004E064A"/>
    <w:rsid w:val="004E78DC"/>
    <w:rsid w:val="004F69F4"/>
    <w:rsid w:val="00503215"/>
    <w:rsid w:val="00503790"/>
    <w:rsid w:val="005076F4"/>
    <w:rsid w:val="005115AA"/>
    <w:rsid w:val="00511A86"/>
    <w:rsid w:val="00511F49"/>
    <w:rsid w:val="00520EB4"/>
    <w:rsid w:val="0053429B"/>
    <w:rsid w:val="00534F5B"/>
    <w:rsid w:val="0054345F"/>
    <w:rsid w:val="00547C33"/>
    <w:rsid w:val="00547FE6"/>
    <w:rsid w:val="00557714"/>
    <w:rsid w:val="0056074D"/>
    <w:rsid w:val="005700FF"/>
    <w:rsid w:val="005706E0"/>
    <w:rsid w:val="00571476"/>
    <w:rsid w:val="005747EA"/>
    <w:rsid w:val="0058367F"/>
    <w:rsid w:val="00596F89"/>
    <w:rsid w:val="005A3F55"/>
    <w:rsid w:val="005B4B60"/>
    <w:rsid w:val="005C0ADE"/>
    <w:rsid w:val="005C7105"/>
    <w:rsid w:val="005D682B"/>
    <w:rsid w:val="005E3783"/>
    <w:rsid w:val="005F389F"/>
    <w:rsid w:val="005F56A8"/>
    <w:rsid w:val="006044E3"/>
    <w:rsid w:val="00606077"/>
    <w:rsid w:val="00607826"/>
    <w:rsid w:val="00610C19"/>
    <w:rsid w:val="006113CC"/>
    <w:rsid w:val="00611401"/>
    <w:rsid w:val="0062247D"/>
    <w:rsid w:val="00656B7C"/>
    <w:rsid w:val="00662DA6"/>
    <w:rsid w:val="00663029"/>
    <w:rsid w:val="00663C55"/>
    <w:rsid w:val="0066754D"/>
    <w:rsid w:val="00677AA2"/>
    <w:rsid w:val="00680129"/>
    <w:rsid w:val="00687C1B"/>
    <w:rsid w:val="00692341"/>
    <w:rsid w:val="006929F6"/>
    <w:rsid w:val="006A3311"/>
    <w:rsid w:val="006D616F"/>
    <w:rsid w:val="006E4F6C"/>
    <w:rsid w:val="006E6CC1"/>
    <w:rsid w:val="006F2573"/>
    <w:rsid w:val="006F39B7"/>
    <w:rsid w:val="006F4565"/>
    <w:rsid w:val="006F7C0E"/>
    <w:rsid w:val="00705F3E"/>
    <w:rsid w:val="00706241"/>
    <w:rsid w:val="00706E78"/>
    <w:rsid w:val="00723FCA"/>
    <w:rsid w:val="0073065F"/>
    <w:rsid w:val="00742E81"/>
    <w:rsid w:val="0074616A"/>
    <w:rsid w:val="00752227"/>
    <w:rsid w:val="00757396"/>
    <w:rsid w:val="00771A53"/>
    <w:rsid w:val="007821AF"/>
    <w:rsid w:val="00791C8E"/>
    <w:rsid w:val="00793351"/>
    <w:rsid w:val="0079536E"/>
    <w:rsid w:val="007A2D83"/>
    <w:rsid w:val="007B1109"/>
    <w:rsid w:val="007D04AD"/>
    <w:rsid w:val="007D2BA7"/>
    <w:rsid w:val="007E3379"/>
    <w:rsid w:val="007F1A94"/>
    <w:rsid w:val="008014C0"/>
    <w:rsid w:val="00806482"/>
    <w:rsid w:val="00821541"/>
    <w:rsid w:val="0082424A"/>
    <w:rsid w:val="0084358F"/>
    <w:rsid w:val="00844F88"/>
    <w:rsid w:val="0085733D"/>
    <w:rsid w:val="00863D19"/>
    <w:rsid w:val="00876DA8"/>
    <w:rsid w:val="008A1008"/>
    <w:rsid w:val="008B6939"/>
    <w:rsid w:val="008C564B"/>
    <w:rsid w:val="008D19DF"/>
    <w:rsid w:val="008E062E"/>
    <w:rsid w:val="008E25B5"/>
    <w:rsid w:val="008E2ED4"/>
    <w:rsid w:val="008E40BE"/>
    <w:rsid w:val="008E69E9"/>
    <w:rsid w:val="008F250F"/>
    <w:rsid w:val="008F44EB"/>
    <w:rsid w:val="008F5114"/>
    <w:rsid w:val="008F5889"/>
    <w:rsid w:val="0090185C"/>
    <w:rsid w:val="00904373"/>
    <w:rsid w:val="009043D8"/>
    <w:rsid w:val="00920E5E"/>
    <w:rsid w:val="00921943"/>
    <w:rsid w:val="00924690"/>
    <w:rsid w:val="009318D6"/>
    <w:rsid w:val="009432BF"/>
    <w:rsid w:val="00946D35"/>
    <w:rsid w:val="00953C5D"/>
    <w:rsid w:val="009540DF"/>
    <w:rsid w:val="009547C8"/>
    <w:rsid w:val="00961D4E"/>
    <w:rsid w:val="009651B2"/>
    <w:rsid w:val="0097111D"/>
    <w:rsid w:val="00971D10"/>
    <w:rsid w:val="009738FB"/>
    <w:rsid w:val="00976933"/>
    <w:rsid w:val="00977A18"/>
    <w:rsid w:val="00985522"/>
    <w:rsid w:val="009933D8"/>
    <w:rsid w:val="009A3347"/>
    <w:rsid w:val="009A72D3"/>
    <w:rsid w:val="009B0C57"/>
    <w:rsid w:val="009C6213"/>
    <w:rsid w:val="009D229A"/>
    <w:rsid w:val="009D27D5"/>
    <w:rsid w:val="009D37CD"/>
    <w:rsid w:val="009D7D63"/>
    <w:rsid w:val="009E52E8"/>
    <w:rsid w:val="009E61E9"/>
    <w:rsid w:val="009E79DC"/>
    <w:rsid w:val="009F230A"/>
    <w:rsid w:val="009F5844"/>
    <w:rsid w:val="009F738B"/>
    <w:rsid w:val="00A110C9"/>
    <w:rsid w:val="00A131DE"/>
    <w:rsid w:val="00A2072D"/>
    <w:rsid w:val="00A2483F"/>
    <w:rsid w:val="00A32218"/>
    <w:rsid w:val="00A4168D"/>
    <w:rsid w:val="00A416E3"/>
    <w:rsid w:val="00A42E97"/>
    <w:rsid w:val="00A50ADD"/>
    <w:rsid w:val="00A66D9E"/>
    <w:rsid w:val="00A71934"/>
    <w:rsid w:val="00A72A29"/>
    <w:rsid w:val="00A7493B"/>
    <w:rsid w:val="00A926D0"/>
    <w:rsid w:val="00AA2FD9"/>
    <w:rsid w:val="00AA3ABD"/>
    <w:rsid w:val="00AA7D9D"/>
    <w:rsid w:val="00AB39B2"/>
    <w:rsid w:val="00AB559D"/>
    <w:rsid w:val="00AC4860"/>
    <w:rsid w:val="00AC5D68"/>
    <w:rsid w:val="00AD20C8"/>
    <w:rsid w:val="00AE3258"/>
    <w:rsid w:val="00AF0602"/>
    <w:rsid w:val="00AF1C75"/>
    <w:rsid w:val="00AF65A8"/>
    <w:rsid w:val="00B0201F"/>
    <w:rsid w:val="00B10D7C"/>
    <w:rsid w:val="00B14BBF"/>
    <w:rsid w:val="00B1538E"/>
    <w:rsid w:val="00B15C26"/>
    <w:rsid w:val="00B21461"/>
    <w:rsid w:val="00B367D9"/>
    <w:rsid w:val="00B46100"/>
    <w:rsid w:val="00B47E76"/>
    <w:rsid w:val="00B50739"/>
    <w:rsid w:val="00B5572A"/>
    <w:rsid w:val="00B65C27"/>
    <w:rsid w:val="00B83433"/>
    <w:rsid w:val="00B83DE3"/>
    <w:rsid w:val="00BA49FB"/>
    <w:rsid w:val="00BA613F"/>
    <w:rsid w:val="00BB4182"/>
    <w:rsid w:val="00BB50B2"/>
    <w:rsid w:val="00BB5111"/>
    <w:rsid w:val="00BC0DE5"/>
    <w:rsid w:val="00BC5D89"/>
    <w:rsid w:val="00BD16ED"/>
    <w:rsid w:val="00BD7793"/>
    <w:rsid w:val="00BE1228"/>
    <w:rsid w:val="00BF5748"/>
    <w:rsid w:val="00BF6673"/>
    <w:rsid w:val="00C05E2A"/>
    <w:rsid w:val="00C14B1F"/>
    <w:rsid w:val="00C21D3E"/>
    <w:rsid w:val="00C21F52"/>
    <w:rsid w:val="00C22821"/>
    <w:rsid w:val="00C24A2D"/>
    <w:rsid w:val="00C323F9"/>
    <w:rsid w:val="00C344AE"/>
    <w:rsid w:val="00C5030B"/>
    <w:rsid w:val="00C55A7A"/>
    <w:rsid w:val="00C569F5"/>
    <w:rsid w:val="00C6129D"/>
    <w:rsid w:val="00C75AC7"/>
    <w:rsid w:val="00C82849"/>
    <w:rsid w:val="00C873A7"/>
    <w:rsid w:val="00C90D9B"/>
    <w:rsid w:val="00C937A6"/>
    <w:rsid w:val="00CA0740"/>
    <w:rsid w:val="00CA0C15"/>
    <w:rsid w:val="00CA3100"/>
    <w:rsid w:val="00CB2BC7"/>
    <w:rsid w:val="00CB6976"/>
    <w:rsid w:val="00CC1719"/>
    <w:rsid w:val="00CC43D9"/>
    <w:rsid w:val="00CE19AF"/>
    <w:rsid w:val="00CE2BF3"/>
    <w:rsid w:val="00CF153F"/>
    <w:rsid w:val="00CF5E1D"/>
    <w:rsid w:val="00D00627"/>
    <w:rsid w:val="00D12567"/>
    <w:rsid w:val="00D229F8"/>
    <w:rsid w:val="00D31160"/>
    <w:rsid w:val="00D350EE"/>
    <w:rsid w:val="00D468DD"/>
    <w:rsid w:val="00D46DD9"/>
    <w:rsid w:val="00D4790E"/>
    <w:rsid w:val="00D62C32"/>
    <w:rsid w:val="00D63476"/>
    <w:rsid w:val="00D6646B"/>
    <w:rsid w:val="00D706F7"/>
    <w:rsid w:val="00D828B6"/>
    <w:rsid w:val="00D901B9"/>
    <w:rsid w:val="00DA22AF"/>
    <w:rsid w:val="00DA3FDF"/>
    <w:rsid w:val="00DA4124"/>
    <w:rsid w:val="00DA6E35"/>
    <w:rsid w:val="00DB1679"/>
    <w:rsid w:val="00DB3026"/>
    <w:rsid w:val="00DD1718"/>
    <w:rsid w:val="00DD56A9"/>
    <w:rsid w:val="00DE0B39"/>
    <w:rsid w:val="00DE3333"/>
    <w:rsid w:val="00DF1103"/>
    <w:rsid w:val="00E03895"/>
    <w:rsid w:val="00E15481"/>
    <w:rsid w:val="00E17C55"/>
    <w:rsid w:val="00E20321"/>
    <w:rsid w:val="00E55FC6"/>
    <w:rsid w:val="00E60270"/>
    <w:rsid w:val="00E62F0A"/>
    <w:rsid w:val="00E65964"/>
    <w:rsid w:val="00E74C52"/>
    <w:rsid w:val="00E75409"/>
    <w:rsid w:val="00E8209E"/>
    <w:rsid w:val="00E82F65"/>
    <w:rsid w:val="00E8522A"/>
    <w:rsid w:val="00E86BC4"/>
    <w:rsid w:val="00E91EA5"/>
    <w:rsid w:val="00EA6F66"/>
    <w:rsid w:val="00EA7CE4"/>
    <w:rsid w:val="00EB47DC"/>
    <w:rsid w:val="00EC5A0D"/>
    <w:rsid w:val="00ED35F6"/>
    <w:rsid w:val="00EE0225"/>
    <w:rsid w:val="00EE36E4"/>
    <w:rsid w:val="00EE5FEA"/>
    <w:rsid w:val="00EF2B06"/>
    <w:rsid w:val="00F024BE"/>
    <w:rsid w:val="00F0373F"/>
    <w:rsid w:val="00F1559A"/>
    <w:rsid w:val="00F158FF"/>
    <w:rsid w:val="00F15CF5"/>
    <w:rsid w:val="00F32AAD"/>
    <w:rsid w:val="00F34637"/>
    <w:rsid w:val="00F3587D"/>
    <w:rsid w:val="00F41A7E"/>
    <w:rsid w:val="00F44600"/>
    <w:rsid w:val="00F532CB"/>
    <w:rsid w:val="00F70E66"/>
    <w:rsid w:val="00F70F59"/>
    <w:rsid w:val="00F73CB3"/>
    <w:rsid w:val="00F8260A"/>
    <w:rsid w:val="00F9482C"/>
    <w:rsid w:val="00F94A8B"/>
    <w:rsid w:val="00F956B4"/>
    <w:rsid w:val="00FA197E"/>
    <w:rsid w:val="00FA68E4"/>
    <w:rsid w:val="00FC29DE"/>
    <w:rsid w:val="00FD0E92"/>
    <w:rsid w:val="00FD6061"/>
    <w:rsid w:val="00FE44DA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B79F"/>
  <w15:chartTrackingRefBased/>
  <w15:docId w15:val="{C16301DB-7F8C-4A89-86BD-D4EDF941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6A8"/>
    <w:pPr>
      <w:suppressAutoHyphens/>
      <w:spacing w:after="0" w:line="240" w:lineRule="auto"/>
    </w:pPr>
    <w:rPr>
      <w:rFonts w:ascii="Calibri" w:eastAsia="Calibri" w:hAnsi="Calibri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12567"/>
    <w:pPr>
      <w:keepNext/>
      <w:numPr>
        <w:numId w:val="1"/>
      </w:numPr>
      <w:suppressAutoHyphens w:val="0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256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zevChar">
    <w:name w:val="Název Char"/>
    <w:link w:val="Nzev"/>
    <w:rsid w:val="00D12567"/>
    <w:rPr>
      <w:rFonts w:ascii="Times New Roman" w:eastAsia="Times New Roman" w:hAnsi="Times New Roman" w:cs="Times New Roman"/>
      <w:color w:val="FF00FF"/>
      <w:sz w:val="44"/>
      <w:lang w:val="x-none"/>
    </w:rPr>
  </w:style>
  <w:style w:type="character" w:customStyle="1" w:styleId="Zkladntext2Char">
    <w:name w:val="Základní text 2 Char"/>
    <w:link w:val="Zkladntext2"/>
    <w:uiPriority w:val="99"/>
    <w:rsid w:val="00D12567"/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rsid w:val="00D12567"/>
    <w:pPr>
      <w:suppressAutoHyphens w:val="0"/>
    </w:pPr>
    <w:rPr>
      <w:rFonts w:ascii="Arial" w:eastAsia="Times New Roman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D12567"/>
    <w:rPr>
      <w:rFonts w:ascii="Arial" w:eastAsia="Times New Roman" w:hAnsi="Arial" w:cs="Arial"/>
      <w:sz w:val="20"/>
      <w:szCs w:val="24"/>
      <w:lang w:eastAsia="zh-CN"/>
    </w:rPr>
  </w:style>
  <w:style w:type="paragraph" w:styleId="Zpat">
    <w:name w:val="footer"/>
    <w:basedOn w:val="Normln"/>
    <w:link w:val="ZpatChar"/>
    <w:rsid w:val="00D12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2567"/>
    <w:rPr>
      <w:rFonts w:ascii="Calibri" w:eastAsia="Calibri" w:hAnsi="Calibri" w:cs="Times New Roman"/>
      <w:sz w:val="24"/>
      <w:lang w:eastAsia="zh-CN"/>
    </w:rPr>
  </w:style>
  <w:style w:type="paragraph" w:styleId="Bezmezer">
    <w:name w:val="No Spacing"/>
    <w:link w:val="BezmezerChar"/>
    <w:uiPriority w:val="1"/>
    <w:qFormat/>
    <w:rsid w:val="00D1256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D12567"/>
    <w:pPr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zev">
    <w:name w:val="Title"/>
    <w:basedOn w:val="Normln"/>
    <w:link w:val="NzevChar"/>
    <w:qFormat/>
    <w:rsid w:val="00D12567"/>
    <w:pPr>
      <w:suppressAutoHyphens w:val="0"/>
      <w:jc w:val="center"/>
    </w:pPr>
    <w:rPr>
      <w:rFonts w:ascii="Times New Roman" w:eastAsia="Times New Roman" w:hAnsi="Times New Roman"/>
      <w:color w:val="FF00FF"/>
      <w:sz w:val="44"/>
      <w:lang w:val="x-none" w:eastAsia="en-US"/>
    </w:rPr>
  </w:style>
  <w:style w:type="character" w:customStyle="1" w:styleId="NzevChar1">
    <w:name w:val="Název Char1"/>
    <w:basedOn w:val="Standardnpsmoodstavce"/>
    <w:uiPriority w:val="10"/>
    <w:rsid w:val="00D1256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D12567"/>
    <w:pPr>
      <w:suppressAutoHyphens w:val="0"/>
      <w:spacing w:after="120" w:line="480" w:lineRule="auto"/>
    </w:pPr>
    <w:rPr>
      <w:rFonts w:ascii="Times New Roman" w:eastAsia="Times New Roman" w:hAnsi="Times New Roman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D12567"/>
    <w:rPr>
      <w:rFonts w:ascii="Calibri" w:eastAsia="Calibri" w:hAnsi="Calibri" w:cs="Times New Roman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C6510"/>
    <w:rPr>
      <w:b/>
      <w:bCs/>
    </w:rPr>
  </w:style>
  <w:style w:type="paragraph" w:styleId="Zhlav">
    <w:name w:val="header"/>
    <w:basedOn w:val="Normln"/>
    <w:link w:val="ZhlavChar"/>
    <w:unhideWhenUsed/>
    <w:rsid w:val="00662DA6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62D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62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D31160"/>
    <w:rPr>
      <w:rFonts w:ascii="Calibri" w:eastAsia="Calibri" w:hAnsi="Calibri" w:cs="Times New Roman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15481"/>
    <w:pPr>
      <w:suppressAutoHyphens w:val="0"/>
    </w:pPr>
    <w:rPr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15481"/>
    <w:rPr>
      <w:rFonts w:ascii="Calibri" w:eastAsia="Calibri" w:hAnsi="Calibri" w:cs="Times New Roman"/>
      <w:szCs w:val="21"/>
    </w:rPr>
  </w:style>
  <w:style w:type="paragraph" w:customStyle="1" w:styleId="center">
    <w:name w:val="center"/>
    <w:basedOn w:val="Normln"/>
    <w:rsid w:val="001044D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25219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4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9997-904B-428E-B669-EA184F18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SEZIMOVO ÚSTÍ, úložiště</dc:creator>
  <cp:keywords/>
  <dc:description/>
  <cp:lastModifiedBy>Ema Králíková</cp:lastModifiedBy>
  <cp:revision>2</cp:revision>
  <cp:lastPrinted>2024-08-08T11:18:00Z</cp:lastPrinted>
  <dcterms:created xsi:type="dcterms:W3CDTF">2024-08-12T08:56:00Z</dcterms:created>
  <dcterms:modified xsi:type="dcterms:W3CDTF">2024-08-12T08:56:00Z</dcterms:modified>
</cp:coreProperties>
</file>